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Amendment No. 1 to confidential submission</w:t>
      </w:r>
    </w:p>
    <w:p>
      <w:pPr>
        <w:jc w:val="center"/>
        <w:ind w:right="-99"/>
        <w:spacing w:after="0" w:line="226" w:lineRule="auto"/>
        <w:rPr>
          <w:sz w:val="20"/>
          <w:szCs w:val="20"/>
          <w:color w:val="auto"/>
        </w:rPr>
      </w:pPr>
      <w:r>
        <w:rPr>
          <w:rFonts w:ascii="Arial" w:cs="Arial" w:eastAsia="Arial" w:hAnsi="Arial"/>
          <w:sz w:val="14"/>
          <w:szCs w:val="14"/>
          <w:b w:val="1"/>
          <w:bCs w:val="1"/>
          <w:color w:val="auto"/>
        </w:rPr>
        <w:t>As submitted confidentially with the Securities and Exchange Commission on June 30, 2021</w:t>
      </w:r>
    </w:p>
    <w:p>
      <w:pPr>
        <w:jc w:val="right"/>
        <w:ind w:left="640" w:right="540"/>
        <w:spacing w:after="0" w:line="237"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Definitive Healthcare Corp.</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7372</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86-3988281</w:t>
            </w:r>
          </w:p>
        </w:tc>
      </w:tr>
      <w:tr>
        <w:trPr>
          <w:trHeight w:val="148"/>
        </w:trPr>
        <w:tc>
          <w:tcPr>
            <w:tcW w:w="28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550 Cochituate Rd</w:t>
      </w:r>
    </w:p>
    <w:p>
      <w:pPr>
        <w:jc w:val="center"/>
        <w:ind w:right="-99"/>
        <w:spacing w:after="0" w:line="226" w:lineRule="auto"/>
        <w:rPr>
          <w:sz w:val="20"/>
          <w:szCs w:val="20"/>
          <w:color w:val="auto"/>
        </w:rPr>
      </w:pPr>
      <w:r>
        <w:rPr>
          <w:rFonts w:ascii="Arial" w:cs="Arial" w:eastAsia="Arial" w:hAnsi="Arial"/>
          <w:sz w:val="14"/>
          <w:szCs w:val="14"/>
          <w:b w:val="1"/>
          <w:bCs w:val="1"/>
          <w:color w:val="auto"/>
        </w:rPr>
        <w:t>Framingham, MA 01701</w:t>
      </w:r>
    </w:p>
    <w:p>
      <w:pPr>
        <w:jc w:val="center"/>
        <w:ind w:right="-99"/>
        <w:spacing w:after="0" w:line="221"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550 Cochituate Rd</w:t>
      </w:r>
    </w:p>
    <w:p>
      <w:pPr>
        <w:jc w:val="center"/>
        <w:ind w:right="-99"/>
        <w:spacing w:after="0" w:line="226" w:lineRule="auto"/>
        <w:rPr>
          <w:sz w:val="20"/>
          <w:szCs w:val="20"/>
          <w:color w:val="auto"/>
        </w:rPr>
      </w:pPr>
      <w:r>
        <w:rPr>
          <w:rFonts w:ascii="Arial" w:cs="Arial" w:eastAsia="Arial" w:hAnsi="Arial"/>
          <w:sz w:val="14"/>
          <w:szCs w:val="14"/>
          <w:b w:val="1"/>
          <w:bCs w:val="1"/>
          <w:color w:val="auto"/>
        </w:rPr>
        <w:t>Framingham, MA 01701</w:t>
      </w:r>
    </w:p>
    <w:p>
      <w:pPr>
        <w:jc w:val="center"/>
        <w:ind w:right="-99"/>
        <w:spacing w:after="0" w:line="221"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tbl>
      <w:tblPr>
        <w:tblLayout w:type="fixed"/>
        <w:tblInd w:w="108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3400" w:type="dxa"/>
            <w:vAlign w:val="bottom"/>
          </w:tcPr>
          <w:p>
            <w:pPr>
              <w:ind w:left="1380"/>
              <w:spacing w:after="0"/>
              <w:rPr>
                <w:sz w:val="20"/>
                <w:szCs w:val="20"/>
                <w:color w:val="auto"/>
              </w:rPr>
            </w:pPr>
            <w:r>
              <w:rPr>
                <w:rFonts w:ascii="Arial" w:cs="Arial" w:eastAsia="Arial" w:hAnsi="Arial"/>
                <w:sz w:val="14"/>
                <w:szCs w:val="14"/>
                <w:b w:val="1"/>
                <w:bCs w:val="1"/>
                <w:i w:val="1"/>
                <w:iCs w:val="1"/>
                <w:color w:val="auto"/>
              </w:rPr>
              <w:t>Copies to:</w:t>
            </w:r>
          </w:p>
        </w:tc>
        <w:tc>
          <w:tcPr>
            <w:tcW w:w="3200" w:type="dxa"/>
            <w:vAlign w:val="bottom"/>
          </w:tcPr>
          <w:p>
            <w:pPr>
              <w:spacing w:after="0"/>
              <w:rPr>
                <w:sz w:val="15"/>
                <w:szCs w:val="15"/>
                <w:color w:val="auto"/>
              </w:rPr>
            </w:pPr>
          </w:p>
        </w:tc>
      </w:tr>
      <w:tr>
        <w:trPr>
          <w:trHeight w:val="192"/>
        </w:trPr>
        <w:tc>
          <w:tcPr>
            <w:tcW w:w="2860" w:type="dxa"/>
            <w:vAlign w:val="bottom"/>
          </w:tcPr>
          <w:p>
            <w:pPr>
              <w:jc w:val="center"/>
              <w:ind w:right="988"/>
              <w:spacing w:after="0"/>
              <w:rPr>
                <w:sz w:val="20"/>
                <w:szCs w:val="20"/>
                <w:color w:val="auto"/>
              </w:rPr>
            </w:pPr>
            <w:r>
              <w:rPr>
                <w:rFonts w:ascii="Arial" w:cs="Arial" w:eastAsia="Arial" w:hAnsi="Arial"/>
                <w:sz w:val="14"/>
                <w:szCs w:val="14"/>
                <w:b w:val="1"/>
                <w:bCs w:val="1"/>
                <w:color w:val="auto"/>
                <w:w w:val="94"/>
              </w:rPr>
              <w:t>Alexander D. Lynch</w:t>
            </w:r>
          </w:p>
        </w:tc>
        <w:tc>
          <w:tcPr>
            <w:tcW w:w="340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David M. Samuels</w:t>
            </w: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auto"/>
                <w:w w:val="97"/>
              </w:rPr>
              <w:t>Cathy A. Birkeland</w:t>
            </w:r>
          </w:p>
        </w:tc>
      </w:tr>
      <w:tr>
        <w:trPr>
          <w:trHeight w:val="149"/>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Barbra J. Broudy</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6"/>
              </w:rPr>
              <w:t>Chief Legal Officer</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87"/>
              </w:rPr>
              <w:t>Senet Bischoff</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550 Cochituate Rd</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6"/>
              </w:rPr>
              <w:t>Alexa Berlin</w:t>
            </w:r>
          </w:p>
        </w:tc>
      </w:tr>
      <w:tr>
        <w:trPr>
          <w:trHeight w:val="148"/>
        </w:trPr>
        <w:tc>
          <w:tcPr>
            <w:tcW w:w="286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2"/>
              </w:rPr>
              <w:t>767 Fifth Avenue</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7"/>
              </w:rPr>
              <w:t>Framingham, MA 01701</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8"/>
              </w:rPr>
              <w:t>Latham &amp; Watkins LLP</w:t>
            </w:r>
          </w:p>
        </w:tc>
      </w:tr>
      <w:tr>
        <w:trPr>
          <w:trHeight w:val="149"/>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5"/>
              </w:rPr>
              <w:t>New York, New York 10153</w:t>
            </w:r>
          </w:p>
        </w:tc>
        <w:tc>
          <w:tcPr>
            <w:tcW w:w="34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(508) 720-4224</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330 North Wabash Avenue, Suite 2800</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3"/>
              </w:rPr>
              <w:t>(212) 310-8000 (Phone)</w:t>
            </w:r>
          </w:p>
        </w:tc>
        <w:tc>
          <w:tcPr>
            <w:tcW w:w="3400" w:type="dxa"/>
            <w:vAlign w:val="bottom"/>
          </w:tcPr>
          <w:p>
            <w:pPr>
              <w:spacing w:after="0"/>
              <w:rPr>
                <w:sz w:val="12"/>
                <w:szCs w:val="12"/>
                <w:color w:val="auto"/>
              </w:rPr>
            </w:pP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1"/>
              </w:rPr>
              <w:t>Chicago, Illinois 60611</w:t>
            </w:r>
          </w:p>
        </w:tc>
      </w:tr>
      <w:tr>
        <w:trPr>
          <w:trHeight w:val="149"/>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4"/>
              </w:rPr>
              <w:t>(212) 310-8007 (Fax)</w:t>
            </w:r>
          </w:p>
        </w:tc>
        <w:tc>
          <w:tcPr>
            <w:tcW w:w="3400" w:type="dxa"/>
            <w:vAlign w:val="bottom"/>
          </w:tcPr>
          <w:p>
            <w:pPr>
              <w:spacing w:after="0"/>
              <w:rPr>
                <w:sz w:val="12"/>
                <w:szCs w:val="12"/>
                <w:color w:val="auto"/>
              </w:rPr>
            </w:pP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3"/>
              </w:rPr>
              <w:t>(312) 876-7700 (Phone)</w:t>
            </w:r>
          </w:p>
        </w:tc>
      </w:tr>
      <w:tr>
        <w:trPr>
          <w:trHeight w:val="186"/>
        </w:trPr>
        <w:tc>
          <w:tcPr>
            <w:tcW w:w="2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auto"/>
                <w:w w:val="94"/>
              </w:rPr>
              <w:t>(312) 993-9767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43"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400" w:firstLine="44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in Rule 12b-2 of the Exchange Act.</w:t>
      </w:r>
    </w:p>
    <w:p>
      <w:pPr>
        <w:spacing w:after="0" w:line="30"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1580" w:type="dxa"/>
            <w:vAlign w:val="bottom"/>
            <w:tcBorders>
              <w:top w:val="single" w:sz="8" w:color="auto"/>
              <w:bottom w:val="single" w:sz="8" w:color="auto"/>
            </w:tcBorders>
          </w:tcPr>
          <w:p>
            <w:pPr>
              <w:spacing w:after="0"/>
              <w:rPr>
                <w:sz w:val="3"/>
                <w:szCs w:val="3"/>
                <w:color w:val="auto"/>
              </w:rPr>
            </w:pPr>
          </w:p>
        </w:tc>
        <w:tc>
          <w:tcPr>
            <w:tcW w:w="4600" w:type="dxa"/>
            <w:vAlign w:val="bottom"/>
            <w:tcBorders>
              <w:top w:val="single" w:sz="8" w:color="auto"/>
              <w:bottom w:val="single" w:sz="8" w:color="auto"/>
            </w:tcBorders>
          </w:tcPr>
          <w:p>
            <w:pPr>
              <w:spacing w:after="0"/>
              <w:rPr>
                <w:sz w:val="3"/>
                <w:szCs w:val="3"/>
                <w:color w:val="auto"/>
              </w:rPr>
            </w:pPr>
          </w:p>
        </w:tc>
        <w:tc>
          <w:tcPr>
            <w:tcW w:w="2440" w:type="dxa"/>
            <w:vAlign w:val="bottom"/>
            <w:tcBorders>
              <w:top w:val="single" w:sz="8" w:color="auto"/>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4600" w:type="dxa"/>
            <w:vAlign w:val="bottom"/>
            <w:tcBorders>
              <w:right w:val="single" w:sz="8" w:color="auto"/>
            </w:tcBorders>
          </w:tcPr>
          <w:p>
            <w:pPr>
              <w:jc w:val="center"/>
              <w:ind w:right="1530"/>
              <w:spacing w:after="0" w:line="116" w:lineRule="exact"/>
              <w:rPr>
                <w:sz w:val="20"/>
                <w:szCs w:val="20"/>
                <w:color w:val="auto"/>
              </w:rPr>
            </w:pPr>
            <w:r>
              <w:rPr>
                <w:rFonts w:ascii="Arial" w:cs="Arial" w:eastAsia="Arial" w:hAnsi="Arial"/>
                <w:sz w:val="13"/>
                <w:szCs w:val="13"/>
                <w:b w:val="1"/>
                <w:bCs w:val="1"/>
                <w:color w:val="auto"/>
              </w:rPr>
              <w:t>Title of Each Class of</w:t>
            </w:r>
          </w:p>
        </w:tc>
        <w:tc>
          <w:tcPr>
            <w:tcW w:w="2440" w:type="dxa"/>
            <w:vAlign w:val="bottom"/>
            <w:tcBorders>
              <w:right w:val="single" w:sz="8" w:color="auto"/>
            </w:tcBorders>
          </w:tcPr>
          <w:p>
            <w:pPr>
              <w:jc w:val="center"/>
              <w:ind w:left="10"/>
              <w:spacing w:after="0" w:line="116" w:lineRule="exact"/>
              <w:rPr>
                <w:sz w:val="20"/>
                <w:szCs w:val="20"/>
                <w:color w:val="auto"/>
              </w:rPr>
            </w:pPr>
            <w:r>
              <w:rPr>
                <w:rFonts w:ascii="Arial" w:cs="Arial" w:eastAsia="Arial" w:hAnsi="Arial"/>
                <w:sz w:val="13"/>
                <w:szCs w:val="13"/>
                <w:b w:val="1"/>
                <w:bCs w:val="1"/>
                <w:color w:val="auto"/>
              </w:rPr>
              <w:t>Proposed Maximum Aggregate</w:t>
            </w:r>
          </w:p>
        </w:tc>
        <w:tc>
          <w:tcPr>
            <w:tcW w:w="24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Amount of Registration Fee</w:t>
            </w:r>
          </w:p>
        </w:tc>
        <w:tc>
          <w:tcPr>
            <w:tcW w:w="0" w:type="dxa"/>
            <w:vAlign w:val="bottom"/>
          </w:tcPr>
          <w:p>
            <w:pPr>
              <w:spacing w:after="0"/>
              <w:rPr>
                <w:sz w:val="1"/>
                <w:szCs w:val="1"/>
                <w:color w:val="auto"/>
              </w:rPr>
            </w:pPr>
          </w:p>
        </w:tc>
      </w:tr>
      <w:tr>
        <w:trPr>
          <w:trHeight w:val="175"/>
        </w:trPr>
        <w:tc>
          <w:tcPr>
            <w:tcW w:w="1580" w:type="dxa"/>
            <w:vAlign w:val="bottom"/>
            <w:tcBorders>
              <w:bottom w:val="single" w:sz="8" w:color="auto"/>
            </w:tcBorders>
          </w:tcPr>
          <w:p>
            <w:pPr>
              <w:spacing w:after="0"/>
              <w:rPr>
                <w:sz w:val="15"/>
                <w:szCs w:val="15"/>
                <w:color w:val="auto"/>
              </w:rPr>
            </w:pPr>
          </w:p>
        </w:tc>
        <w:tc>
          <w:tcPr>
            <w:tcW w:w="4600" w:type="dxa"/>
            <w:vAlign w:val="bottom"/>
            <w:tcBorders>
              <w:bottom w:val="single" w:sz="8" w:color="auto"/>
              <w:right w:val="single" w:sz="8" w:color="auto"/>
            </w:tcBorders>
          </w:tcPr>
          <w:p>
            <w:pPr>
              <w:jc w:val="center"/>
              <w:ind w:right="1530"/>
              <w:spacing w:after="0"/>
              <w:rPr>
                <w:sz w:val="20"/>
                <w:szCs w:val="20"/>
                <w:color w:val="auto"/>
              </w:rPr>
            </w:pPr>
            <w:r>
              <w:rPr>
                <w:rFonts w:ascii="Arial" w:cs="Arial" w:eastAsia="Arial" w:hAnsi="Arial"/>
                <w:sz w:val="14"/>
                <w:szCs w:val="14"/>
                <w:b w:val="1"/>
                <w:bCs w:val="1"/>
                <w:color w:val="auto"/>
                <w:w w:val="90"/>
              </w:rPr>
              <w:t>Securities to be Registered</w:t>
            </w:r>
          </w:p>
        </w:tc>
        <w:tc>
          <w:tcPr>
            <w:tcW w:w="24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Offering Price (1)(2)</w:t>
            </w:r>
          </w:p>
        </w:tc>
        <w:tc>
          <w:tcPr>
            <w:tcW w:w="2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w:t>
            </w:r>
          </w:p>
        </w:tc>
        <w:tc>
          <w:tcPr>
            <w:tcW w:w="4600" w:type="dxa"/>
            <w:vAlign w:val="bottom"/>
            <w:tcBorders>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$0.001 par value per share</w:t>
            </w:r>
          </w:p>
        </w:tc>
        <w:tc>
          <w:tcPr>
            <w:tcW w:w="2440" w:type="dxa"/>
            <w:vAlign w:val="bottom"/>
            <w:tcBorders>
              <w:bottom w:val="single" w:sz="8" w:color="auto"/>
              <w:right w:val="single" w:sz="8" w:color="auto"/>
            </w:tcBorders>
          </w:tcPr>
          <w:p>
            <w:pPr>
              <w:jc w:val="right"/>
              <w:ind w:right="1370"/>
              <w:spacing w:after="0" w:line="142" w:lineRule="exact"/>
              <w:rPr>
                <w:sz w:val="20"/>
                <w:szCs w:val="20"/>
                <w:color w:val="auto"/>
              </w:rPr>
            </w:pPr>
            <w:r>
              <w:rPr>
                <w:rFonts w:ascii="Arial" w:cs="Arial" w:eastAsia="Arial" w:hAnsi="Arial"/>
                <w:sz w:val="14"/>
                <w:szCs w:val="14"/>
                <w:color w:val="auto"/>
              </w:rPr>
              <w:t>$</w:t>
            </w:r>
          </w:p>
        </w:tc>
        <w:tc>
          <w:tcPr>
            <w:tcW w:w="2400" w:type="dxa"/>
            <w:vAlign w:val="bottom"/>
            <w:tcBorders>
              <w:bottom w:val="single" w:sz="8" w:color="auto"/>
            </w:tcBorders>
          </w:tcPr>
          <w:p>
            <w:pPr>
              <w:jc w:val="right"/>
              <w:ind w:right="13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promulgated under the Securities Act of 1933, as amended.</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Class A common stock that may be issuable upon exercise of an option to purchase additional shares granted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p>
      <w:pPr>
        <w:ind w:left="120" w:right="8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June 30, 2021</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83185</wp:posOffset>
            </wp:positionV>
            <wp:extent cx="2143125"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760"/>
        <w:spacing w:after="0"/>
        <w:rPr>
          <w:sz w:val="20"/>
          <w:szCs w:val="20"/>
          <w:color w:val="auto"/>
        </w:rPr>
      </w:pPr>
      <w:r>
        <w:rPr>
          <w:rFonts w:ascii="Arial" w:cs="Arial" w:eastAsia="Arial" w:hAnsi="Arial"/>
          <w:sz w:val="25"/>
          <w:szCs w:val="25"/>
          <w:b w:val="1"/>
          <w:bCs w:val="1"/>
          <w:color w:val="auto"/>
        </w:rPr>
        <w:t>Shares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Definitive Healthcare Corp.</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0" w:firstLine="440"/>
        <w:spacing w:after="0" w:line="266" w:lineRule="auto"/>
        <w:rPr>
          <w:sz w:val="20"/>
          <w:szCs w:val="20"/>
          <w:color w:val="auto"/>
        </w:rPr>
      </w:pPr>
      <w:r>
        <w:rPr>
          <w:rFonts w:ascii="Arial" w:cs="Arial" w:eastAsia="Arial" w:hAnsi="Arial"/>
          <w:sz w:val="13"/>
          <w:szCs w:val="13"/>
          <w:color w:val="auto"/>
        </w:rPr>
        <w:t>This is an initial public offering of Class A common stock by Definitive Healthcare Corp. 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w:t>
      </w:r>
    </w:p>
    <w:p>
      <w:pPr>
        <w:spacing w:after="0" w:line="1" w:lineRule="exact"/>
        <w:rPr>
          <w:sz w:val="20"/>
          <w:szCs w:val="20"/>
          <w:color w:val="auto"/>
        </w:rPr>
      </w:pPr>
    </w:p>
    <w:p>
      <w:pPr>
        <w:ind w:left="120" w:right="40"/>
        <w:spacing w:after="0" w:line="225" w:lineRule="auto"/>
        <w:rPr>
          <w:sz w:val="20"/>
          <w:szCs w:val="20"/>
          <w:color w:val="auto"/>
        </w:rPr>
      </w:pPr>
      <w:r>
        <w:rPr>
          <w:rFonts w:ascii="Arial" w:cs="Arial" w:eastAsia="Arial" w:hAnsi="Arial"/>
          <w:sz w:val="15"/>
          <w:szCs w:val="15"/>
          <w:color w:val="auto"/>
        </w:rPr>
        <w:t>to Definitive Healthcare Corp, Definitive OpCo and their subsidiaries. We are offering shares of our Class A common stock. Prior to this offering, or the IPO, there has been no public market for our Class A common stock. It is currently estimated that the initial public offering price per share will be between $ and $ . We intend</w:t>
      </w:r>
    </w:p>
    <w:p>
      <w:pPr>
        <w:spacing w:after="0" w:line="1" w:lineRule="exact"/>
        <w:rPr>
          <w:sz w:val="20"/>
          <w:szCs w:val="20"/>
          <w:color w:val="auto"/>
        </w:rPr>
      </w:pPr>
    </w:p>
    <w:p>
      <w:pPr>
        <w:ind w:left="120" w:right="20"/>
        <w:spacing w:after="0" w:line="260" w:lineRule="auto"/>
        <w:rPr>
          <w:sz w:val="20"/>
          <w:szCs w:val="20"/>
          <w:color w:val="auto"/>
        </w:rPr>
      </w:pPr>
      <w:r>
        <w:rPr>
          <w:rFonts w:ascii="Arial" w:cs="Arial" w:eastAsia="Arial" w:hAnsi="Arial"/>
          <w:sz w:val="13"/>
          <w:szCs w:val="13"/>
          <w:color w:val="auto"/>
        </w:rPr>
        <w:t>to apply to have our Class A common stock listed on the New York Stock Exchange or Nasdaq Global Market under the symbol “DH.” This offering is being conducted through what is commonly referred to as an “Up-C” structure, which is often used by partnerships and limited liability companies undertaking an initial public offering. The Up-C approach provides the existing owners with the tax treatment of continuing to own interests in a pass-through structure and provides potential future tax benefits for both the public company and the existing owners when they ultimately exchange their pass-through interests for shares of Class A common stock. Definitive Healthcare Corp. is a holding company, and immediately after the consummation of the Reorganization Transactions (as defined herein) and this offering its principal asset will be its ownership interests in Definitive OpCo (as defined herein). We conduct our business through Definitive OpCo and its subsidiaries. See “Prospectus Summary—Organizational Structure.” Upon the completion of this</w:t>
      </w:r>
    </w:p>
    <w:p>
      <w:pPr>
        <w:ind w:left="120"/>
        <w:spacing w:after="0"/>
        <w:tabs>
          <w:tab w:leader="none" w:pos="7440" w:val="left"/>
          <w:tab w:leader="none" w:pos="8440" w:val="left"/>
        </w:tabs>
        <w:rPr>
          <w:sz w:val="20"/>
          <w:szCs w:val="20"/>
          <w:color w:val="auto"/>
        </w:rPr>
      </w:pPr>
      <w:r>
        <w:rPr>
          <w:rFonts w:ascii="Arial" w:cs="Arial" w:eastAsia="Arial" w:hAnsi="Arial"/>
          <w:sz w:val="15"/>
          <w:szCs w:val="15"/>
          <w:color w:val="auto"/>
        </w:rPr>
        <w:t>offering, Definitive Healthcare Corp. and the Continuing Pre-IPO LLC Members (as defined herein) will hold</w:t>
      </w:r>
      <w:r>
        <w:rPr>
          <w:sz w:val="20"/>
          <w:szCs w:val="20"/>
          <w:color w:val="auto"/>
        </w:rPr>
        <w:tab/>
      </w:r>
      <w:r>
        <w:rPr>
          <w:rFonts w:ascii="Arial" w:cs="Arial" w:eastAsia="Arial" w:hAnsi="Arial"/>
          <w:sz w:val="15"/>
          <w:szCs w:val="15"/>
          <w:color w:val="auto"/>
        </w:rPr>
        <w:t>% and</w:t>
      </w:r>
      <w:r>
        <w:rPr>
          <w:sz w:val="20"/>
          <w:szCs w:val="20"/>
          <w:color w:val="auto"/>
        </w:rPr>
        <w:tab/>
      </w:r>
      <w:r>
        <w:rPr>
          <w:rFonts w:ascii="Arial" w:cs="Arial" w:eastAsia="Arial" w:hAnsi="Arial"/>
          <w:sz w:val="14"/>
          <w:szCs w:val="14"/>
          <w:color w:val="auto"/>
        </w:rPr>
        <w:t>% of Definitive OpCo, respectively.</w:t>
      </w:r>
    </w:p>
    <w:p>
      <w:pPr>
        <w:spacing w:after="0" w:line="8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4"/>
          <w:szCs w:val="14"/>
          <w:color w:val="auto"/>
        </w:rPr>
        <w:t>Following this offering, we will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“Organizational Structure—Holding Company Structure and the Tax Receivable Agreements.”</w:t>
      </w:r>
    </w:p>
    <w:p>
      <w:pPr>
        <w:spacing w:after="0" w:line="69" w:lineRule="exact"/>
        <w:rPr>
          <w:sz w:val="20"/>
          <w:szCs w:val="20"/>
          <w:color w:val="auto"/>
        </w:rPr>
      </w:pPr>
    </w:p>
    <w:p>
      <w:pPr>
        <w:ind w:left="120" w:right="60" w:firstLine="440"/>
        <w:spacing w:after="0"/>
        <w:rPr>
          <w:sz w:val="20"/>
          <w:szCs w:val="20"/>
          <w:color w:val="auto"/>
        </w:rPr>
      </w:pPr>
      <w:r>
        <w:rPr>
          <w:rFonts w:ascii="Arial" w:cs="Arial" w:eastAsia="Arial" w:hAnsi="Arial"/>
          <w:sz w:val="15"/>
          <w:szCs w:val="15"/>
          <w:color w:val="auto"/>
        </w:rPr>
        <w:t>As a result, the Pre-IPO LLC Members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77"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3"/>
          <w:szCs w:val="13"/>
          <w:color w:val="auto"/>
        </w:rPr>
        <w:t>We intend to use all of the net proceeds from this offering (including from any exercise by the underwriters of their option to purchase additional shares of Class A common stock) to purchase newly issued LLC Units from Definitive OpCo. The foregoing purchases of LLC Units will be at a price per unit equal to the public offering price per share of Class A common stock in this offering, less the underwriting discount. Definitive OpCo expects to use the proceeds it receives from this offering to (i) pay fees and expenses of</w:t>
      </w:r>
    </w:p>
    <w:p>
      <w:pPr>
        <w:spacing w:after="0" w:line="1" w:lineRule="exact"/>
        <w:rPr>
          <w:sz w:val="20"/>
          <w:szCs w:val="20"/>
          <w:color w:val="auto"/>
        </w:rPr>
      </w:pPr>
    </w:p>
    <w:p>
      <w:pPr>
        <w:ind w:left="120" w:right="60"/>
        <w:spacing w:after="0" w:line="239" w:lineRule="auto"/>
        <w:rPr>
          <w:sz w:val="20"/>
          <w:szCs w:val="20"/>
          <w:color w:val="auto"/>
        </w:rPr>
      </w:pPr>
      <w:r>
        <w:rPr>
          <w:rFonts w:ascii="Arial" w:cs="Arial" w:eastAsia="Arial" w:hAnsi="Arial"/>
          <w:sz w:val="15"/>
          <w:szCs w:val="15"/>
          <w:color w:val="auto"/>
        </w:rPr>
        <w:t>approximately $ in connection with this offering and (ii) as otherwise set forth in “Use of Proceeds.” See “Use of Proceeds” and “Certain Relationships and Related Party Transactions.”</w:t>
      </w:r>
    </w:p>
    <w:p>
      <w:pPr>
        <w:spacing w:after="0" w:line="76"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5"/>
          <w:szCs w:val="15"/>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4" w:lineRule="exact"/>
        <w:rPr>
          <w:sz w:val="20"/>
          <w:szCs w:val="20"/>
          <w:color w:val="auto"/>
        </w:rPr>
      </w:pPr>
    </w:p>
    <w:p>
      <w:pPr>
        <w:ind w:left="5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See “</w:t>
      </w:r>
      <w:hyperlink w:anchor="page29">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on page 22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1"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96"/>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Initial public offering price</w:t>
            </w:r>
          </w:p>
        </w:tc>
        <w:tc>
          <w:tcPr>
            <w:tcW w:w="78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5"/>
                <w:szCs w:val="15"/>
                <w:color w:val="auto"/>
              </w:rPr>
              <w:t>Underwriting discount</w:t>
            </w:r>
            <w:r>
              <w:rPr>
                <w:rFonts w:ascii="Arial" w:cs="Arial" w:eastAsia="Arial" w:hAnsi="Arial"/>
                <w:sz w:val="13"/>
                <w:szCs w:val="13"/>
                <w:color w:val="auto"/>
              </w:rPr>
              <w:t>(1)</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7"/>
                <w:szCs w:val="17"/>
                <w:color w:val="auto"/>
              </w:rPr>
            </w:pP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7"/>
                <w:szCs w:val="17"/>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us</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refer you to “</w:t>
      </w:r>
      <w:hyperlink w:anchor="page167">
        <w:r>
          <w:rPr>
            <w:rFonts w:ascii="Arial" w:cs="Arial" w:eastAsia="Arial" w:hAnsi="Arial"/>
            <w:sz w:val="15"/>
            <w:szCs w:val="15"/>
            <w:u w:val="single" w:color="auto"/>
            <w:color w:val="0000EE"/>
          </w:rPr>
          <w:t>Underwriting</w:t>
        </w:r>
      </w:hyperlink>
      <w:r>
        <w:rPr>
          <w:rFonts w:ascii="Arial" w:cs="Arial" w:eastAsia="Arial" w:hAnsi="Arial"/>
          <w:sz w:val="15"/>
          <w:szCs w:val="15"/>
          <w:color w:val="auto"/>
        </w:rPr>
        <w:t>,” beginning on page 160 of this prospectus, for additional information regarding total underwriter compensation.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740" w:type="dxa"/>
            <w:vAlign w:val="bottom"/>
          </w:tcPr>
          <w:p>
            <w:pPr>
              <w:ind w:left="440"/>
              <w:spacing w:after="0"/>
              <w:rPr>
                <w:sz w:val="20"/>
                <w:szCs w:val="20"/>
                <w:color w:val="auto"/>
              </w:rPr>
            </w:pPr>
            <w:r>
              <w:rPr>
                <w:rFonts w:ascii="Arial" w:cs="Arial" w:eastAsia="Arial" w:hAnsi="Arial"/>
                <w:sz w:val="15"/>
                <w:szCs w:val="15"/>
                <w:color w:val="auto"/>
              </w:rPr>
              <w:t>To the extent that the underwriters sell more than</w:t>
            </w:r>
          </w:p>
        </w:tc>
        <w:tc>
          <w:tcPr>
            <w:tcW w:w="6540" w:type="dxa"/>
            <w:vAlign w:val="bottom"/>
            <w:gridSpan w:val="3"/>
          </w:tcPr>
          <w:p>
            <w:pPr>
              <w:jc w:val="right"/>
              <w:ind w:right="224"/>
              <w:spacing w:after="0"/>
              <w:rPr>
                <w:sz w:val="20"/>
                <w:szCs w:val="20"/>
                <w:color w:val="auto"/>
              </w:rPr>
            </w:pPr>
            <w:r>
              <w:rPr>
                <w:rFonts w:ascii="Arial" w:cs="Arial" w:eastAsia="Arial" w:hAnsi="Arial"/>
                <w:sz w:val="15"/>
                <w:szCs w:val="15"/>
                <w:color w:val="auto"/>
                <w:w w:val="96"/>
              </w:rPr>
              <w:t>shares of Class A common stock, the underwriters have an option to purchase up to an additional</w:t>
            </w:r>
          </w:p>
        </w:tc>
        <w:tc>
          <w:tcPr>
            <w:tcW w:w="700" w:type="dxa"/>
            <w:vAlign w:val="bottom"/>
          </w:tcPr>
          <w:p>
            <w:pPr>
              <w:ind w:left="300"/>
              <w:spacing w:after="0"/>
              <w:rPr>
                <w:sz w:val="20"/>
                <w:szCs w:val="20"/>
                <w:color w:val="auto"/>
              </w:rPr>
            </w:pPr>
            <w:r>
              <w:rPr>
                <w:rFonts w:ascii="Arial" w:cs="Arial" w:eastAsia="Arial" w:hAnsi="Arial"/>
                <w:sz w:val="15"/>
                <w:szCs w:val="15"/>
                <w:color w:val="auto"/>
                <w:w w:val="84"/>
              </w:rPr>
              <w:t>shares</w:t>
            </w:r>
          </w:p>
        </w:tc>
      </w:tr>
      <w:tr>
        <w:trPr>
          <w:trHeight w:val="194"/>
        </w:trPr>
        <w:tc>
          <w:tcPr>
            <w:tcW w:w="6660" w:type="dxa"/>
            <w:vAlign w:val="bottom"/>
            <w:gridSpan w:val="3"/>
          </w:tcPr>
          <w:p>
            <w:pPr>
              <w:spacing w:after="0"/>
              <w:rPr>
                <w:sz w:val="20"/>
                <w:szCs w:val="20"/>
                <w:color w:val="auto"/>
              </w:rPr>
            </w:pPr>
            <w:r>
              <w:rPr>
                <w:rFonts w:ascii="Arial" w:cs="Arial" w:eastAsia="Arial" w:hAnsi="Arial"/>
                <w:sz w:val="15"/>
                <w:szCs w:val="15"/>
                <w:color w:val="auto"/>
              </w:rPr>
              <w:t>from us at the initial public offering price less the underwriting discount.</w:t>
            </w:r>
          </w:p>
        </w:tc>
        <w:tc>
          <w:tcPr>
            <w:tcW w:w="36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0"/>
        </w:trPr>
        <w:tc>
          <w:tcPr>
            <w:tcW w:w="6660" w:type="dxa"/>
            <w:vAlign w:val="bottom"/>
            <w:gridSpan w:val="3"/>
          </w:tcPr>
          <w:p>
            <w:pPr>
              <w:ind w:left="440"/>
              <w:spacing w:after="0"/>
              <w:rPr>
                <w:sz w:val="20"/>
                <w:szCs w:val="20"/>
                <w:color w:val="auto"/>
              </w:rPr>
            </w:pPr>
            <w:r>
              <w:rPr>
                <w:rFonts w:ascii="Arial" w:cs="Arial" w:eastAsia="Arial" w:hAnsi="Arial"/>
                <w:sz w:val="15"/>
                <w:szCs w:val="15"/>
                <w:b w:val="1"/>
                <w:bCs w:val="1"/>
                <w:color w:val="auto"/>
                <w:w w:val="97"/>
              </w:rPr>
              <w:t>The underwriters expect to deliver the shares against payment in New York, New York on</w:t>
            </w:r>
          </w:p>
        </w:tc>
        <w:tc>
          <w:tcPr>
            <w:tcW w:w="3620" w:type="dxa"/>
            <w:vAlign w:val="bottom"/>
          </w:tcPr>
          <w:p>
            <w:pPr>
              <w:jc w:val="right"/>
              <w:ind w:right="2704"/>
              <w:spacing w:after="0"/>
              <w:rPr>
                <w:sz w:val="20"/>
                <w:szCs w:val="20"/>
                <w:color w:val="auto"/>
              </w:rPr>
            </w:pPr>
            <w:r>
              <w:rPr>
                <w:rFonts w:ascii="Arial" w:cs="Arial" w:eastAsia="Arial" w:hAnsi="Arial"/>
                <w:sz w:val="15"/>
                <w:szCs w:val="15"/>
                <w:b w:val="1"/>
                <w:bCs w:val="1"/>
                <w:color w:val="auto"/>
              </w:rPr>
              <w:t>, 2021.</w:t>
            </w:r>
          </w:p>
        </w:tc>
        <w:tc>
          <w:tcPr>
            <w:tcW w:w="700" w:type="dxa"/>
            <w:vAlign w:val="bottom"/>
          </w:tcPr>
          <w:p>
            <w:pPr>
              <w:spacing w:after="0"/>
              <w:rPr>
                <w:sz w:val="23"/>
                <w:szCs w:val="23"/>
                <w:color w:val="auto"/>
              </w:rPr>
            </w:pPr>
          </w:p>
        </w:tc>
      </w:tr>
      <w:tr>
        <w:trPr>
          <w:trHeight w:val="210"/>
        </w:trPr>
        <w:tc>
          <w:tcPr>
            <w:tcW w:w="3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00" w:type="dxa"/>
            <w:vAlign w:val="bottom"/>
            <w:gridSpan w:val="2"/>
          </w:tcPr>
          <w:p>
            <w:pPr>
              <w:ind w:left="100"/>
              <w:spacing w:after="0"/>
              <w:rPr>
                <w:sz w:val="20"/>
                <w:szCs w:val="20"/>
                <w:color w:val="auto"/>
              </w:rPr>
            </w:pPr>
            <w:r>
              <w:rPr>
                <w:rFonts w:ascii="Arial" w:cs="Arial" w:eastAsia="Arial" w:hAnsi="Arial"/>
                <w:sz w:val="20"/>
                <w:szCs w:val="20"/>
                <w:b w:val="1"/>
                <w:bCs w:val="1"/>
                <w:color w:val="auto"/>
              </w:rPr>
              <w:t>Goldman Sachs &amp; Co. LLC*</w:t>
            </w:r>
          </w:p>
        </w:tc>
        <w:tc>
          <w:tcPr>
            <w:tcW w:w="4740" w:type="dxa"/>
            <w:vAlign w:val="bottom"/>
          </w:tcPr>
          <w:p>
            <w:pPr>
              <w:jc w:val="right"/>
              <w:spacing w:after="0"/>
              <w:rPr>
                <w:sz w:val="20"/>
                <w:szCs w:val="20"/>
                <w:color w:val="auto"/>
              </w:rPr>
            </w:pPr>
            <w:r>
              <w:rPr>
                <w:rFonts w:ascii="Arial" w:cs="Arial" w:eastAsia="Arial" w:hAnsi="Arial"/>
                <w:sz w:val="20"/>
                <w:szCs w:val="20"/>
                <w:b w:val="1"/>
                <w:bCs w:val="1"/>
                <w:color w:val="auto"/>
              </w:rPr>
              <w:t>J.P. Morgan*</w:t>
            </w:r>
          </w:p>
        </w:tc>
      </w:tr>
      <w:tr>
        <w:trPr>
          <w:trHeight w:val="256"/>
        </w:trPr>
        <w:tc>
          <w:tcPr>
            <w:tcW w:w="6200" w:type="dxa"/>
            <w:vAlign w:val="bottom"/>
            <w:gridSpan w:val="2"/>
          </w:tcPr>
          <w:p>
            <w:pPr>
              <w:ind w:left="60"/>
              <w:spacing w:after="0"/>
              <w:rPr>
                <w:sz w:val="20"/>
                <w:szCs w:val="20"/>
                <w:color w:val="auto"/>
              </w:rPr>
            </w:pPr>
            <w:r>
              <w:rPr>
                <w:rFonts w:ascii="Arial" w:cs="Arial" w:eastAsia="Arial" w:hAnsi="Arial"/>
                <w:sz w:val="20"/>
                <w:szCs w:val="20"/>
                <w:b w:val="1"/>
                <w:bCs w:val="1"/>
                <w:color w:val="auto"/>
              </w:rPr>
              <w:t>Morgan Stanley</w:t>
            </w:r>
          </w:p>
        </w:tc>
        <w:tc>
          <w:tcPr>
            <w:tcW w:w="4740" w:type="dxa"/>
            <w:vAlign w:val="bottom"/>
          </w:tcPr>
          <w:p>
            <w:pPr>
              <w:jc w:val="right"/>
              <w:spacing w:after="0"/>
              <w:rPr>
                <w:sz w:val="20"/>
                <w:szCs w:val="20"/>
                <w:color w:val="auto"/>
              </w:rPr>
            </w:pPr>
            <w:r>
              <w:rPr>
                <w:rFonts w:ascii="Arial" w:cs="Arial" w:eastAsia="Arial" w:hAnsi="Arial"/>
                <w:sz w:val="20"/>
                <w:szCs w:val="20"/>
                <w:b w:val="1"/>
                <w:bCs w:val="1"/>
                <w:color w:val="auto"/>
              </w:rPr>
              <w:t>Barclays</w:t>
            </w:r>
          </w:p>
        </w:tc>
      </w:tr>
      <w:tr>
        <w:trPr>
          <w:trHeight w:val="131"/>
        </w:trPr>
        <w:tc>
          <w:tcPr>
            <w:tcW w:w="1220" w:type="dxa"/>
            <w:vAlign w:val="bottom"/>
            <w:tcBorders>
              <w:bottom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98"/>
        </w:trPr>
        <w:tc>
          <w:tcPr>
            <w:tcW w:w="6200" w:type="dxa"/>
            <w:vAlign w:val="bottom"/>
            <w:gridSpan w:val="2"/>
          </w:tcPr>
          <w:p>
            <w:pPr>
              <w:spacing w:after="0"/>
              <w:rPr>
                <w:sz w:val="20"/>
                <w:szCs w:val="20"/>
                <w:color w:val="auto"/>
              </w:rPr>
            </w:pPr>
            <w:r>
              <w:rPr>
                <w:rFonts w:ascii="Arial" w:cs="Arial" w:eastAsia="Arial" w:hAnsi="Arial"/>
                <w:sz w:val="14"/>
                <w:szCs w:val="14"/>
                <w:color w:val="auto"/>
              </w:rPr>
              <w:t>* In alphabetical order.</w:t>
            </w:r>
          </w:p>
        </w:tc>
        <w:tc>
          <w:tcPr>
            <w:tcW w:w="4740" w:type="dxa"/>
            <w:vAlign w:val="bottom"/>
          </w:tcPr>
          <w:p>
            <w:pPr>
              <w:spacing w:after="0"/>
              <w:rPr>
                <w:sz w:val="17"/>
                <w:szCs w:val="17"/>
                <w:color w:val="auto"/>
              </w:rPr>
            </w:pPr>
          </w:p>
        </w:tc>
      </w:tr>
      <w:tr>
        <w:trPr>
          <w:trHeight w:val="382"/>
        </w:trPr>
        <w:tc>
          <w:tcPr>
            <w:tcW w:w="1220" w:type="dxa"/>
            <w:vAlign w:val="bottom"/>
          </w:tcPr>
          <w:p>
            <w:pPr>
              <w:spacing w:after="0"/>
              <w:rPr>
                <w:sz w:val="24"/>
                <w:szCs w:val="24"/>
                <w:color w:val="auto"/>
              </w:rPr>
            </w:pPr>
          </w:p>
        </w:tc>
        <w:tc>
          <w:tcPr>
            <w:tcW w:w="4980" w:type="dxa"/>
            <w:vAlign w:val="bottom"/>
          </w:tcPr>
          <w:p>
            <w:pPr>
              <w:ind w:left="2880"/>
              <w:spacing w:after="0"/>
              <w:rPr>
                <w:sz w:val="20"/>
                <w:szCs w:val="20"/>
                <w:color w:val="auto"/>
              </w:rPr>
            </w:pPr>
            <w:r>
              <w:rPr>
                <w:rFonts w:ascii="Arial" w:cs="Arial" w:eastAsia="Arial" w:hAnsi="Arial"/>
                <w:sz w:val="15"/>
                <w:szCs w:val="15"/>
                <w:color w:val="auto"/>
              </w:rPr>
              <w:t>The date of this prospectus is</w:t>
            </w:r>
          </w:p>
        </w:tc>
        <w:tc>
          <w:tcPr>
            <w:tcW w:w="4740" w:type="dxa"/>
            <w:vAlign w:val="bottom"/>
          </w:tcPr>
          <w:p>
            <w:pPr>
              <w:jc w:val="right"/>
              <w:ind w:right="3929"/>
              <w:spacing w:after="0"/>
              <w:rPr>
                <w:sz w:val="20"/>
                <w:szCs w:val="20"/>
                <w:color w:val="auto"/>
              </w:rPr>
            </w:pPr>
            <w:r>
              <w:rPr>
                <w:rFonts w:ascii="Arial" w:cs="Arial" w:eastAsia="Arial" w:hAnsi="Arial"/>
                <w:sz w:val="15"/>
                <w:szCs w:val="15"/>
                <w:color w:val="auto"/>
              </w:rPr>
              <w:t>, 2021</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6"/>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640" w:type="dxa"/>
            <w:vAlign w:val="bottom"/>
            <w:gridSpan w:val="26"/>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Organizational Structure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The Offering</w:t>
              </w:r>
            </w:hyperlink>
          </w:p>
        </w:tc>
        <w:tc>
          <w:tcPr>
            <w:tcW w:w="800" w:type="dxa"/>
            <w:vAlign w:val="bottom"/>
            <w:tcBorders>
              <w:top w:val="single" w:sz="8" w:color="0000EE"/>
            </w:tcBorders>
            <w:gridSpan w:val="7"/>
          </w:tcPr>
          <w:p>
            <w:pPr>
              <w:spacing w:after="0"/>
              <w:rPr>
                <w:sz w:val="17"/>
                <w:szCs w:val="17"/>
                <w:color w:val="auto"/>
              </w:rPr>
            </w:pPr>
          </w:p>
        </w:tc>
        <w:tc>
          <w:tcPr>
            <w:tcW w:w="888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Summary Historical and Pro Forma Consolidated Financial and Other Data</w:t>
              </w:r>
            </w:hyperlink>
          </w:p>
        </w:tc>
        <w:tc>
          <w:tcPr>
            <w:tcW w:w="52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Cautionary Note Regarding 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Organizational Structure</w:t>
              </w:r>
            </w:hyperlink>
          </w:p>
        </w:tc>
        <w:tc>
          <w:tcPr>
            <w:tcW w:w="65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Use of Proceeds</w:t>
              </w:r>
            </w:hyperlink>
          </w:p>
        </w:tc>
        <w:tc>
          <w:tcPr>
            <w:tcW w:w="888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Dividend Policy</w:t>
              </w:r>
            </w:hyperlink>
          </w:p>
        </w:tc>
        <w:tc>
          <w:tcPr>
            <w:tcW w:w="94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Capitalization</w:t>
              </w:r>
            </w:hyperlink>
          </w:p>
        </w:tc>
        <w:tc>
          <w:tcPr>
            <w:tcW w:w="962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Dilution</w:t>
              </w:r>
            </w:hyperlink>
          </w:p>
        </w:tc>
        <w:tc>
          <w:tcPr>
            <w:tcW w:w="1004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Unaudited Pro Forma Consolidated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111">
              <w:r>
                <w:rPr>
                  <w:rFonts w:ascii="Arial" w:cs="Arial" w:eastAsia="Arial" w:hAnsi="Arial"/>
                  <w:sz w:val="18"/>
                  <w:szCs w:val="18"/>
                  <w:color w:val="0000EE"/>
                  <w:w w:val="84"/>
                </w:rPr>
                <w:t>Business</w:t>
              </w:r>
            </w:hyperlink>
          </w:p>
        </w:tc>
        <w:tc>
          <w:tcPr>
            <w:tcW w:w="1000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29">
              <w:r>
                <w:rPr>
                  <w:rFonts w:ascii="Arial" w:cs="Arial" w:eastAsia="Arial" w:hAnsi="Arial"/>
                  <w:sz w:val="18"/>
                  <w:szCs w:val="18"/>
                  <w:color w:val="0000EE"/>
                  <w:w w:val="87"/>
                </w:rPr>
                <w:t>Management</w:t>
              </w:r>
            </w:hyperlink>
          </w:p>
        </w:tc>
        <w:tc>
          <w:tcPr>
            <w:tcW w:w="970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Executive and Director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Principal Stockholders</w:t>
              </w:r>
            </w:hyperlink>
          </w:p>
        </w:tc>
        <w:tc>
          <w:tcPr>
            <w:tcW w:w="1100" w:type="dxa"/>
            <w:vAlign w:val="bottom"/>
            <w:tcBorders>
              <w:top w:val="single" w:sz="8" w:color="0000EE"/>
            </w:tcBorders>
            <w:gridSpan w:val="6"/>
          </w:tcPr>
          <w:p>
            <w:pPr>
              <w:spacing w:after="0"/>
              <w:rPr>
                <w:sz w:val="17"/>
                <w:szCs w:val="17"/>
                <w:color w:val="auto"/>
              </w:rPr>
            </w:pPr>
          </w:p>
        </w:tc>
        <w:tc>
          <w:tcPr>
            <w:tcW w:w="79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Certain Relationships and Related Party Transactions</w:t>
              </w:r>
            </w:hyperlink>
          </w:p>
        </w:tc>
        <w:tc>
          <w:tcPr>
            <w:tcW w:w="68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Description of Material Indebtedness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Description of Capital Stock</w:t>
              </w:r>
            </w:hyperlink>
          </w:p>
        </w:tc>
        <w:tc>
          <w:tcPr>
            <w:tcW w:w="79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Shares Eligible for Future Sale</w:t>
              </w:r>
            </w:hyperlink>
          </w:p>
        </w:tc>
        <w:tc>
          <w:tcPr>
            <w:tcW w:w="842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Material U.S. Federal Income Tax Considerations for Non-U.S. Holders</w:t>
              </w:r>
            </w:hyperlink>
          </w:p>
        </w:tc>
        <w:tc>
          <w:tcPr>
            <w:tcW w:w="54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Experts</w:t>
              </w:r>
            </w:hyperlink>
          </w:p>
        </w:tc>
        <w:tc>
          <w:tcPr>
            <w:tcW w:w="964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Index to Financial Statements</w:t>
              </w:r>
            </w:hyperlink>
          </w:p>
        </w:tc>
        <w:tc>
          <w:tcPr>
            <w:tcW w:w="720" w:type="dxa"/>
            <w:vAlign w:val="bottom"/>
            <w:tcBorders>
              <w:top w:val="single" w:sz="8" w:color="0000EE"/>
            </w:tcBorders>
            <w:gridSpan w:val="4"/>
          </w:tcPr>
          <w:p>
            <w:pPr>
              <w:spacing w:after="0"/>
              <w:rPr>
                <w:sz w:val="17"/>
                <w:szCs w:val="17"/>
                <w:color w:val="auto"/>
              </w:rPr>
            </w:pPr>
          </w:p>
        </w:tc>
        <w:tc>
          <w:tcPr>
            <w:tcW w:w="7780" w:type="dxa"/>
            <w:vAlign w:val="bottom"/>
            <w:gridSpan w:val="7"/>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References to “Predecessor Company” refer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to Definitive OpCo prior to July 16, 2019 and “Successor Company” refer to Definitive OpCo after July 15, 2019. See “Management’s Discussion and Analysis of Financial Condition and Results of Operations—Impact of Acquisitions.”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Trade Names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own or have the rights to use various trademarks, trade names, service marks and copyrights, including: Definitive Healthcare</w:t>
      </w:r>
      <w:r>
        <w:rPr>
          <w:rFonts w:ascii="Arial" w:cs="Arial" w:eastAsia="Arial" w:hAnsi="Arial"/>
          <w:sz w:val="15"/>
          <w:szCs w:val="15"/>
          <w:color w:val="auto"/>
        </w:rPr>
        <w:t>®</w:t>
      </w:r>
      <w:r>
        <w:rPr>
          <w:rFonts w:ascii="Arial" w:cs="Arial" w:eastAsia="Arial" w:hAnsi="Arial"/>
          <w:sz w:val="18"/>
          <w:szCs w:val="18"/>
          <w:color w:val="auto"/>
        </w:rPr>
        <w:t xml:space="preserve"> and our logo used in association with our name. Solely for convenience, any trademarks, trade names, service marks or copyrights referred to or used herein are listed without the applicable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Information</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86"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have relied on the calculations and analysis and our use of third-party analytics tools to present metrics that, as closely as possible, reflect genuine users and legitimate user activity on our platform. 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noted or the context requires otherwise:</w:t>
      </w:r>
    </w:p>
    <w:p>
      <w:pPr>
        <w:spacing w:after="0" w:line="131"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“Advent” refers to Advent International, a global private equity firm.</w:t>
      </w:r>
    </w:p>
    <w:p>
      <w:pPr>
        <w:spacing w:after="0" w:line="130" w:lineRule="exact"/>
        <w:rPr>
          <w:rFonts w:ascii="Arial" w:cs="Arial" w:eastAsia="Arial" w:hAnsi="Arial"/>
          <w:sz w:val="18"/>
          <w:szCs w:val="18"/>
          <w:color w:val="auto"/>
        </w:rPr>
      </w:pPr>
    </w:p>
    <w:p>
      <w:pPr>
        <w:ind w:left="5580" w:right="2940" w:hanging="5356"/>
        <w:spacing w:after="0" w:line="449" w:lineRule="auto"/>
        <w:tabs>
          <w:tab w:leader="none" w:pos="554"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LLC Agreement” has the meaning given in “Prospectus Summary—Organizational Structure.” ii</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“Blocker Company” has the meaning given in “Prospectus Summary—Organizational Structure.”</w:t>
      </w:r>
    </w:p>
    <w:p>
      <w:pPr>
        <w:spacing w:after="0" w:line="130" w:lineRule="exact"/>
        <w:rPr>
          <w:rFonts w:ascii="Arial" w:cs="Arial" w:eastAsia="Arial" w:hAnsi="Arial"/>
          <w:sz w:val="18"/>
          <w:szCs w:val="18"/>
          <w:color w:val="auto"/>
        </w:rPr>
      </w:pPr>
    </w:p>
    <w:p>
      <w:pPr>
        <w:ind w:left="540" w:right="20" w:hanging="316"/>
        <w:spacing w:after="0" w:line="30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62" w:lineRule="exact"/>
        <w:rPr>
          <w:rFonts w:ascii="Arial" w:cs="Arial" w:eastAsia="Arial" w:hAnsi="Arial"/>
          <w:sz w:val="16"/>
          <w:szCs w:val="16"/>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B LLC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LLC Class B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Pre-IPO LLC Members” has the meaning given in “Prospectus Summary—Organizational Structure.”</w:t>
      </w:r>
    </w:p>
    <w:p>
      <w:pPr>
        <w:spacing w:after="0" w:line="130"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“Definitive,” “Definitive Healthcare,”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w:t>
      </w:r>
    </w:p>
    <w:p>
      <w:pPr>
        <w:spacing w:after="0" w:line="92"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“Definitive OpCo” refers to AIDH TopCo, LLC, a Delaware limited liability company, and a subsidiary of Definitive Healthcare Corp., following the Reorganization Transactions.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“DH Holdings” refers to Definitive Healthcare Holdings, LLC, a wholly-owned subsidiary of Definitive Healthcare.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“IPO” refers to the initial public offering of our Class A common stock.</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Units” has the meaning given in “Prospectus Summary—Organizational Structure.”</w:t>
      </w:r>
    </w:p>
    <w:p>
      <w:pPr>
        <w:spacing w:after="0" w:line="130" w:lineRule="exact"/>
        <w:rPr>
          <w:rFonts w:ascii="Arial" w:cs="Arial" w:eastAsia="Arial" w:hAnsi="Arial"/>
          <w:sz w:val="18"/>
          <w:szCs w:val="18"/>
          <w:color w:val="auto"/>
        </w:rPr>
      </w:pPr>
    </w:p>
    <w:p>
      <w:pPr>
        <w:ind w:left="540" w:right="80" w:hanging="316"/>
        <w:spacing w:after="0" w:line="27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76" w:lineRule="exact"/>
        <w:rPr>
          <w:rFonts w:ascii="Arial" w:cs="Arial" w:eastAsia="Arial" w:hAnsi="Arial"/>
          <w:sz w:val="17"/>
          <w:szCs w:val="17"/>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LLC Class A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“Mergers”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“Pre-IPO LLC Members”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Class B LLC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Management LLC Class B Units” has the meaning given in “Prospectus Summary—Organizational Structure.”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Parties”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Transactions”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“Spectrum Equity” refers to investment funds associated with Spectrum Equity Management, L.P., a private equity firm.</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“Sponsors” refers collectively to Advent, Spectrum Equity and 22C Capital.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“Topco Class A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 Parties”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“22C Capital” refers to investment funds associated with 22C Capital LLC, a private equity firm.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refer in this prospectus to Adjusted EBITDA, Adjusted Gross Profit, Adjusted Gross Margin and Adjusted EBITDA Margin,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stock-based compensation is included in cost of revenue in accordance with GAAP, but is excluded from our Adjusted Gross Margin calculations due to its non-cash nature.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100" w:lineRule="exact"/>
        <w:rPr>
          <w:sz w:val="20"/>
          <w:szCs w:val="20"/>
          <w:color w:val="auto"/>
        </w:rPr>
      </w:pPr>
    </w:p>
    <w:p>
      <w:pPr>
        <w:ind w:left="5560" w:right="3000" w:hanging="5336"/>
        <w:spacing w:after="0" w:line="449" w:lineRule="auto"/>
        <w:tabs>
          <w:tab w:leader="none" w:pos="554"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debt-related costs, including interest expense; 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income tax expense or the cash requirements to pay our income taxes;</w:t>
      </w:r>
    </w:p>
    <w:p>
      <w:pPr>
        <w:spacing w:after="0" w:line="130"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charges for the assets being depreciated and amortized that may need to be replaced in the future;</w:t>
      </w:r>
    </w:p>
    <w:p>
      <w:pPr>
        <w:spacing w:after="0" w:line="75" w:lineRule="exact"/>
        <w:rPr>
          <w:rFonts w:ascii="Arial" w:cs="Arial" w:eastAsia="Arial" w:hAnsi="Arial"/>
          <w:sz w:val="18"/>
          <w:szCs w:val="18"/>
          <w:color w:val="auto"/>
        </w:rPr>
      </w:pPr>
    </w:p>
    <w:p>
      <w:pPr>
        <w:ind w:left="540" w:right="300" w:hanging="316"/>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Gross Profit and Adjusted Gross Margin include depreciation and amortization for assets that may need to be replaced, but exclude depreciation and amortization for intangible assets that are primarily a result of purchase accounting, which results primarily from the Advent acquisition;</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the impact of impairment loss;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foreign exchange transaction gain and loss;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the impact of stock-based compensation upon our results of operations;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acquisition-related expenses;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certain expenses that are non-recurring in nature.</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evaluating Adjusted EBITDA, Adjusted EBITDA Margin, Adjusted Gross Profit and Adjusted Gross Margin, you should be aware that in the future we may incur expenses similar to those eliminated in these presentations.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See “Summary Historical and Pro Forma Consolidated Financial and Other Data” for a reconciliation of Adjusted EBITDA to net income (loss), the most directly comparable GAAP measure and a reconciliation of Adjusted Gross Profit and Adjusted Gross Margin to gross profit, the most directly comparable GAAP measure.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33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00" w:firstLine="426"/>
        <w:spacing w:after="0" w:line="287"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w:t>
      </w:r>
    </w:p>
    <w:p>
      <w:pPr>
        <w:spacing w:after="0" w:line="2" w:lineRule="exact"/>
        <w:rPr>
          <w:sz w:val="20"/>
          <w:szCs w:val="20"/>
          <w:color w:val="auto"/>
        </w:rPr>
      </w:pPr>
    </w:p>
    <w:p>
      <w:pPr>
        <w:ind w:left="300"/>
        <w:spacing w:after="0" w:line="260" w:lineRule="auto"/>
        <w:rPr>
          <w:rFonts w:ascii="Arial" w:cs="Arial" w:eastAsia="Arial" w:hAnsi="Arial"/>
          <w:sz w:val="18"/>
          <w:szCs w:val="18"/>
          <w:i w:val="1"/>
          <w:iCs w:val="1"/>
          <w:color w:val="auto"/>
        </w:rPr>
      </w:pPr>
      <w:r>
        <w:rPr>
          <w:rFonts w:ascii="Arial" w:cs="Arial" w:eastAsia="Arial" w:hAnsi="Arial"/>
          <w:sz w:val="18"/>
          <w:szCs w:val="18"/>
          <w:i w:val="1"/>
          <w:iCs w:val="1"/>
          <w:color w:val="auto"/>
        </w:rPr>
        <w:t>“</w:t>
      </w:r>
      <w:hyperlink w:anchor="page29">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22. In addition, certain statements in this prospectus include forward-looking information that is subject to risks and uncertainties. See “Cautionary Note Regarding Forward-Looking Statements.”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300" w:right="620" w:firstLine="426"/>
        <w:spacing w:after="0" w:line="277" w:lineRule="auto"/>
        <w:rPr>
          <w:sz w:val="20"/>
          <w:szCs w:val="20"/>
          <w:color w:val="auto"/>
        </w:rPr>
      </w:pPr>
      <w:r>
        <w:rPr>
          <w:rFonts w:ascii="Arial" w:cs="Arial" w:eastAsia="Arial" w:hAnsi="Arial"/>
          <w:sz w:val="18"/>
          <w:szCs w:val="18"/>
          <w:color w:val="auto"/>
        </w:rPr>
        <w:t>Our mission is to make the complex healthcare ecosystem easier to understand, navigate, sell into and compete within by providing a comprehensive, cloud-based healthcare commercial intelligence platform.</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Definitive Healthcare provides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2,500 customers as of December 31, 2020.</w:t>
      </w:r>
    </w:p>
    <w:p>
      <w:pPr>
        <w:spacing w:after="0" w:line="187" w:lineRule="exact"/>
        <w:rPr>
          <w:sz w:val="20"/>
          <w:szCs w:val="20"/>
          <w:color w:val="auto"/>
        </w:rPr>
      </w:pPr>
    </w:p>
    <w:p>
      <w:pPr>
        <w:ind w:left="300" w:right="160" w:firstLine="426"/>
        <w:spacing w:after="0" w:line="254" w:lineRule="auto"/>
        <w:rPr>
          <w:sz w:val="20"/>
          <w:szCs w:val="20"/>
          <w:color w:val="auto"/>
        </w:rPr>
      </w:pPr>
      <w:r>
        <w:rPr>
          <w:rFonts w:ascii="Arial" w:cs="Arial" w:eastAsia="Arial" w:hAnsi="Arial"/>
          <w:sz w:val="18"/>
          <w:szCs w:val="18"/>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95"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Our customers include biopharmaceutical and medical device (“Life Sciences”) companies, Healthcare Information Technology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31" w:lineRule="exact"/>
        <w:rPr>
          <w:sz w:val="20"/>
          <w:szCs w:val="20"/>
          <w:color w:val="auto"/>
        </w:rPr>
      </w:pPr>
    </w:p>
    <w:p>
      <w:pPr>
        <w:ind w:left="700" w:right="560" w:hanging="307"/>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w:t>
      </w:r>
      <w:r>
        <w:rPr>
          <w:rFonts w:ascii="Arial" w:cs="Arial" w:eastAsia="Arial" w:hAnsi="Arial"/>
          <w:sz w:val="18"/>
          <w:szCs w:val="18"/>
          <w:color w:val="auto"/>
        </w:rPr>
        <w:t>Size markets, build efficient go-to-market strategies and generate actionable intelligence including prospect and decision maker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w:t>
      </w:r>
    </w:p>
    <w:p>
      <w:pPr>
        <w:spacing w:after="0" w:line="75"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Develop highly targeted marketing campaigns and gain contextual intelligence to quantify Return on Investment (“ROI”)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w:t>
      </w:r>
    </w:p>
    <w:p>
      <w:pPr>
        <w:spacing w:after="0" w:line="75" w:lineRule="exact"/>
        <w:rPr>
          <w:rFonts w:ascii="Arial" w:cs="Arial" w:eastAsia="Arial" w:hAnsi="Arial"/>
          <w:sz w:val="18"/>
          <w:szCs w:val="18"/>
          <w:color w:val="auto"/>
        </w:rPr>
      </w:pPr>
    </w:p>
    <w:p>
      <w:pPr>
        <w:ind w:left="700" w:right="100" w:hanging="307"/>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data-driven investment decisions.</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67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580" w:hanging="307"/>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Acquisition. </w:t>
      </w:r>
      <w:r>
        <w:rPr>
          <w:rFonts w:ascii="Arial" w:cs="Arial" w:eastAsia="Arial" w:hAnsi="Arial"/>
          <w:sz w:val="18"/>
          <w:szCs w:val="18"/>
          <w:color w:val="auto"/>
        </w:rPr>
        <w:t>Identify and conduct outreach to candidates for healthcare-specific roles including physicians, nurses and hospital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w:t>
      </w:r>
    </w:p>
    <w:p>
      <w:pPr>
        <w:spacing w:after="0" w:line="75"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0"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three elements are:</w:t>
      </w:r>
    </w:p>
    <w:p>
      <w:pPr>
        <w:spacing w:after="0" w:line="131" w:lineRule="exact"/>
        <w:rPr>
          <w:sz w:val="20"/>
          <w:szCs w:val="20"/>
          <w:color w:val="auto"/>
        </w:rPr>
      </w:pPr>
    </w:p>
    <w:p>
      <w:pPr>
        <w:ind w:left="700" w:hanging="30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p>
    <w:p>
      <w:pPr>
        <w:spacing w:after="0" w:line="130" w:lineRule="exact"/>
        <w:rPr>
          <w:rFonts w:ascii="Arial" w:cs="Arial" w:eastAsia="Arial" w:hAnsi="Arial"/>
          <w:sz w:val="18"/>
          <w:szCs w:val="18"/>
          <w:color w:val="auto"/>
        </w:rPr>
      </w:pPr>
    </w:p>
    <w:p>
      <w:pPr>
        <w:ind w:left="700" w:right="760" w:hanging="307"/>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An Artificial Intelligence (“A.I.”) Engine</w:t>
      </w:r>
      <w:r>
        <w:rPr>
          <w:rFonts w:ascii="Arial" w:cs="Arial" w:eastAsia="Arial" w:hAnsi="Arial"/>
          <w:sz w:val="18"/>
          <w:szCs w:val="18"/>
          <w:color w:val="auto"/>
        </w:rPr>
        <w:t>, built by our team of data scientists, that cleanses, links and creates new information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w:t>
      </w:r>
    </w:p>
    <w:p>
      <w:pPr>
        <w:spacing w:after="0" w:line="75" w:lineRule="exact"/>
        <w:rPr>
          <w:rFonts w:ascii="Arial" w:cs="Arial" w:eastAsia="Arial" w:hAnsi="Arial"/>
          <w:sz w:val="18"/>
          <w:szCs w:val="18"/>
          <w:color w:val="auto"/>
        </w:rPr>
      </w:pPr>
    </w:p>
    <w:p>
      <w:pPr>
        <w:ind w:left="700" w:right="320" w:hanging="307"/>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in real-time,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actionable insights and create a path to commercial success.</w:t>
      </w:r>
    </w:p>
    <w:p>
      <w:pPr>
        <w:spacing w:after="0" w:line="170"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87"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w:t>
      </w:r>
    </w:p>
    <w:p>
      <w:pPr>
        <w:spacing w:after="0" w:line="184" w:lineRule="exact"/>
        <w:rPr>
          <w:sz w:val="20"/>
          <w:szCs w:val="20"/>
          <w:color w:val="auto"/>
        </w:rPr>
      </w:pPr>
    </w:p>
    <w:p>
      <w:pPr>
        <w:ind w:left="300" w:right="340" w:firstLine="426"/>
        <w:spacing w:after="0" w:line="286"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71" w:lineRule="exact"/>
        <w:rPr>
          <w:sz w:val="20"/>
          <w:szCs w:val="20"/>
          <w:color w:val="auto"/>
        </w:rPr>
      </w:pPr>
    </w:p>
    <w:p>
      <w:pPr>
        <w:ind w:left="700" w:hanging="307"/>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December 31, 2019, respectively, representing 38% growth.</w:t>
      </w:r>
    </w:p>
    <w:p>
      <w:pPr>
        <w:spacing w:after="0" w:line="75" w:lineRule="exact"/>
        <w:rPr>
          <w:rFonts w:ascii="Arial" w:cs="Arial" w:eastAsia="Arial" w:hAnsi="Arial"/>
          <w:sz w:val="18"/>
          <w:szCs w:val="18"/>
          <w:color w:val="auto"/>
        </w:rPr>
      </w:pPr>
    </w:p>
    <w:p>
      <w:pPr>
        <w:ind w:left="700" w:right="240" w:hanging="307"/>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Subscription-based Business Model with Significant Visibility. </w:t>
      </w:r>
      <w:r>
        <w:rPr>
          <w:rFonts w:ascii="Arial" w:cs="Arial" w:eastAsia="Arial" w:hAnsi="Arial"/>
          <w:sz w:val="18"/>
          <w:szCs w:val="18"/>
          <w:color w:val="auto"/>
        </w:rPr>
        <w:t>We generate substantially all of our revenue from subscription fees,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accounted for 99% of our revenue for the year ended December 31, 2020.</w:t>
      </w:r>
    </w:p>
    <w:p>
      <w:pPr>
        <w:spacing w:after="0" w:line="75" w:lineRule="exact"/>
        <w:rPr>
          <w:rFonts w:ascii="Arial" w:cs="Arial" w:eastAsia="Arial" w:hAnsi="Arial"/>
          <w:sz w:val="18"/>
          <w:szCs w:val="18"/>
          <w:color w:val="auto"/>
        </w:rPr>
      </w:pPr>
    </w:p>
    <w:p>
      <w:pPr>
        <w:ind w:left="700" w:right="880" w:hanging="307"/>
        <w:spacing w:after="0" w:line="342"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Customer Base. </w:t>
      </w:r>
      <w:r>
        <w:rPr>
          <w:rFonts w:ascii="Arial" w:cs="Arial" w:eastAsia="Arial" w:hAnsi="Arial"/>
          <w:sz w:val="16"/>
          <w:szCs w:val="16"/>
          <w:color w:val="auto"/>
        </w:rPr>
        <w:t>Over 2,500 companies use our platform to help sell into or compete in the healthcare ecosystem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No single customer made up more than 2% of our revenue for the year ended December 31, 2020.</w:t>
      </w:r>
    </w:p>
    <w:p>
      <w:pPr>
        <w:spacing w:after="0" w:line="29" w:lineRule="exact"/>
        <w:rPr>
          <w:rFonts w:ascii="Arial" w:cs="Arial" w:eastAsia="Arial" w:hAnsi="Arial"/>
          <w:sz w:val="16"/>
          <w:szCs w:val="16"/>
          <w:color w:val="auto"/>
        </w:rPr>
      </w:pPr>
    </w:p>
    <w:p>
      <w:pPr>
        <w:ind w:left="700" w:right="180" w:hanging="307"/>
        <w:spacing w:after="0" w:line="311"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which we define as customers generating more than $100,000 in ARR (“Enterprise Customers”). For the year ended December 31, 2020, we had 292 Enterprise Customers, with an average Net Dollar Retention Rate of 124%.</w:t>
      </w:r>
    </w:p>
    <w:p>
      <w:pPr>
        <w:spacing w:after="0" w:line="54" w:lineRule="exact"/>
        <w:rPr>
          <w:rFonts w:ascii="Arial" w:cs="Arial" w:eastAsia="Arial" w:hAnsi="Arial"/>
          <w:sz w:val="16"/>
          <w:szCs w:val="16"/>
          <w:color w:val="auto"/>
        </w:rPr>
      </w:pPr>
    </w:p>
    <w:p>
      <w:pPr>
        <w:ind w:left="700" w:right="160" w:hanging="307"/>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Strong Financial Performance. </w:t>
      </w:r>
      <w:r>
        <w:rPr>
          <w:rFonts w:ascii="Arial" w:cs="Arial" w:eastAsia="Arial" w:hAnsi="Arial"/>
          <w:sz w:val="18"/>
          <w:szCs w:val="18"/>
          <w:color w:val="auto"/>
        </w:rPr>
        <w:t>Our business model generates strong financial performance and cash flows. Our net loss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$51.2 million for the year ended December 31, 2020 as compared to a net loss of $49.3 million for the period from July 16, 2019 to December 31, 2019 and net income of $12.9 million for the period from January 1, 2019 to July 15, 2019. For the year ended December 31, 2020, our Adjusted</w:t>
      </w: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6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311" w:lineRule="auto"/>
        <w:rPr>
          <w:sz w:val="20"/>
          <w:szCs w:val="20"/>
          <w:color w:val="auto"/>
        </w:rPr>
      </w:pPr>
      <w:r>
        <w:rPr>
          <w:rFonts w:ascii="Arial" w:cs="Arial" w:eastAsia="Arial" w:hAnsi="Arial"/>
          <w:sz w:val="16"/>
          <w:szCs w:val="16"/>
          <w:color w:val="auto"/>
        </w:rPr>
        <w:t>Gross Margin was 91% and our Adjusted EBITDA was $53.5 million, reflecting Adjusted EBITDA Margins of 45%. This strong financial performance allows us to continue to invest for growth to scale the organization. See “Summary Historical and Pro Forma Consolidated Financial Information” for additional information regarding our non-GAAP numbers and a reconciliation to the corresponding GAAP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color w:val="auto"/>
        </w:rPr>
        <w:t>The healthcare sector represents almost 18% of U.S. GDP as of December 31, 2020, nearly $4 trillion in annual spend and is growing at nearly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ind w:left="700" w:right="60" w:hanging="307"/>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Companies are selling to an entire ecosystem, not a single company. </w:t>
      </w:r>
      <w:r>
        <w:rPr>
          <w:rFonts w:ascii="Arial" w:cs="Arial" w:eastAsia="Arial" w:hAnsi="Arial"/>
          <w:sz w:val="18"/>
          <w:szCs w:val="18"/>
          <w:color w:val="auto"/>
        </w:rPr>
        <w:t>There are a large number of stakeholders including providers, payers,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agencies and regulators that are intermingled in meeting the needs of over 300 million potential patients in the U.S. as of May 1, 2021.</w:t>
      </w:r>
    </w:p>
    <w:p>
      <w:pPr>
        <w:spacing w:after="0" w:line="89" w:lineRule="exact"/>
        <w:rPr>
          <w:rFonts w:ascii="Arial" w:cs="Arial" w:eastAsia="Arial" w:hAnsi="Arial"/>
          <w:sz w:val="18"/>
          <w:szCs w:val="18"/>
          <w:color w:val="auto"/>
        </w:rPr>
      </w:pPr>
    </w:p>
    <w:p>
      <w:pPr>
        <w:ind w:left="700" w:right="40" w:hanging="307"/>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is challenging to identify the true decision maker. </w:t>
      </w:r>
      <w:r>
        <w:rPr>
          <w:rFonts w:ascii="Arial" w:cs="Arial" w:eastAsia="Arial" w:hAnsi="Arial"/>
          <w:sz w:val="18"/>
          <w:szCs w:val="18"/>
          <w:color w:val="auto"/>
        </w:rPr>
        <w:t>The healthcare ecosystem is highly interconnected and understanding how stakeholders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affiliated and related is critical to properly identifying true decision makers.</w:t>
      </w:r>
    </w:p>
    <w:p>
      <w:pPr>
        <w:spacing w:after="0" w:line="75" w:lineRule="exact"/>
        <w:rPr>
          <w:rFonts w:ascii="Arial" w:cs="Arial" w:eastAsia="Arial" w:hAnsi="Arial"/>
          <w:sz w:val="18"/>
          <w:szCs w:val="18"/>
          <w:color w:val="auto"/>
        </w:rPr>
      </w:pPr>
    </w:p>
    <w:p>
      <w:pPr>
        <w:ind w:left="700" w:right="160" w:hanging="307"/>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 differentiate, companies need to tailor their product or service to specific pain points. </w:t>
      </w:r>
      <w:r>
        <w:rPr>
          <w:rFonts w:ascii="Arial" w:cs="Arial" w:eastAsia="Arial" w:hAnsi="Arial"/>
          <w:sz w:val="18"/>
          <w:szCs w:val="18"/>
          <w:color w:val="auto"/>
        </w:rPr>
        <w:t>Healthcare providers have a wide variety of pain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points to address. Understanding these pain points can help companies selling into healthcare target these pain points and allow them to derive value from our platform.</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260" w:hanging="307"/>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change. </w:t>
      </w:r>
      <w:r>
        <w:rPr>
          <w:rFonts w:ascii="Arial" w:cs="Arial" w:eastAsia="Arial" w:hAnsi="Arial"/>
          <w:sz w:val="18"/>
          <w:szCs w:val="18"/>
          <w:color w:val="auto"/>
        </w:rPr>
        <w:t>The healthcare industry is in a constant state of change including changing regulations and adoption of new patient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w:t>
      </w:r>
    </w:p>
    <w:p>
      <w:pPr>
        <w:spacing w:after="0" w:line="75" w:lineRule="exact"/>
        <w:rPr>
          <w:rFonts w:ascii="Arial" w:cs="Arial" w:eastAsia="Arial" w:hAnsi="Arial"/>
          <w:sz w:val="18"/>
          <w:szCs w:val="18"/>
          <w:color w:val="auto"/>
        </w:rPr>
      </w:pPr>
    </w:p>
    <w:p>
      <w:pPr>
        <w:ind w:left="700" w:right="360" w:hanging="307"/>
        <w:spacing w:after="0" w:line="34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Healthcare is a high-stakes industry where success is difficult to achieve. </w:t>
      </w:r>
      <w:r>
        <w:rPr>
          <w:rFonts w:ascii="Arial" w:cs="Arial" w:eastAsia="Arial" w:hAnsi="Arial"/>
          <w:sz w:val="16"/>
          <w:szCs w:val="16"/>
          <w:color w:val="auto"/>
        </w:rPr>
        <w:t>New therapeutics can require substantial investment and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can be costly and difficult to roll-out in healthcare due to privacy and the complex health system network.</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7" w:lineRule="exact"/>
        <w:rPr>
          <w:sz w:val="20"/>
          <w:szCs w:val="20"/>
          <w:color w:val="auto"/>
        </w:rPr>
      </w:pPr>
    </w:p>
    <w:p>
      <w:pPr>
        <w:ind w:left="700" w:right="80" w:hanging="307"/>
        <w:spacing w:after="0" w:line="281"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70" w:lineRule="exact"/>
        <w:rPr>
          <w:rFonts w:ascii="Arial" w:cs="Arial" w:eastAsia="Arial" w:hAnsi="Arial"/>
          <w:sz w:val="17"/>
          <w:szCs w:val="17"/>
          <w:color w:val="auto"/>
        </w:rPr>
      </w:pPr>
    </w:p>
    <w:p>
      <w:pPr>
        <w:ind w:left="700" w:right="140" w:hanging="307"/>
        <w:spacing w:after="0" w:line="261"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5" w:lineRule="exact"/>
        <w:rPr>
          <w:rFonts w:ascii="Arial" w:cs="Arial" w:eastAsia="Arial" w:hAnsi="Arial"/>
          <w:sz w:val="18"/>
          <w:szCs w:val="18"/>
          <w:color w:val="auto"/>
        </w:rPr>
      </w:pPr>
    </w:p>
    <w:p>
      <w:pPr>
        <w:ind w:left="700" w:hanging="307"/>
        <w:spacing w:after="0" w:line="258"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Definitive Healthcare Platform</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7"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31" w:lineRule="exact"/>
        <w:rPr>
          <w:sz w:val="20"/>
          <w:szCs w:val="20"/>
          <w:color w:val="auto"/>
        </w:rPr>
      </w:pPr>
    </w:p>
    <w:p>
      <w:pPr>
        <w:ind w:left="700" w:right="80" w:hanging="307"/>
        <w:spacing w:after="0" w:line="263"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comprehensive view of the entire healthcare ecosystem </w:t>
      </w:r>
      <w:r>
        <w:rPr>
          <w:rFonts w:ascii="Arial" w:cs="Arial" w:eastAsia="Arial" w:hAnsi="Arial"/>
          <w:sz w:val="18"/>
          <w:szCs w:val="18"/>
          <w:color w:val="auto"/>
        </w:rPr>
        <w:t>including intelligence on hospitals, physicians, physician groups, clinics, imaging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centers, long-term care facilities, ambulatory surgery centers, payers, virtual care providers, Group Purchasing Organizations (“GPOs”) and others.</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120" w:hanging="307"/>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 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all linked together through the proprietary Definitive ID.</w:t>
      </w:r>
    </w:p>
    <w:p>
      <w:pPr>
        <w:spacing w:after="0" w:line="75" w:lineRule="exact"/>
        <w:rPr>
          <w:rFonts w:ascii="Arial" w:cs="Arial" w:eastAsia="Arial" w:hAnsi="Arial"/>
          <w:sz w:val="18"/>
          <w:szCs w:val="18"/>
          <w:color w:val="auto"/>
        </w:rPr>
      </w:pPr>
    </w:p>
    <w:p>
      <w:pPr>
        <w:ind w:left="700" w:right="120" w:hanging="307"/>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Request for Proposals (“RFPs”), procedure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diagnosis volumes, patient leakage, quality of care analytics, financial metrics, technology infrastructure of providers and healthcare stakeholder intelligence with detailed contact information.</w:t>
      </w:r>
    </w:p>
    <w:p>
      <w:pPr>
        <w:spacing w:after="0" w:line="89" w:lineRule="exact"/>
        <w:rPr>
          <w:rFonts w:ascii="Arial" w:cs="Arial" w:eastAsia="Arial" w:hAnsi="Arial"/>
          <w:sz w:val="18"/>
          <w:szCs w:val="18"/>
          <w:color w:val="auto"/>
        </w:rPr>
      </w:pPr>
    </w:p>
    <w:p>
      <w:pPr>
        <w:ind w:left="700" w:hanging="307"/>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153" w:lineRule="exact"/>
        <w:rPr>
          <w:rFonts w:ascii="Arial" w:cs="Arial" w:eastAsia="Arial" w:hAnsi="Arial"/>
          <w:sz w:val="16"/>
          <w:szCs w:val="16"/>
          <w:color w:val="auto"/>
        </w:rPr>
      </w:pPr>
    </w:p>
    <w:p>
      <w:pPr>
        <w:ind w:left="700" w:right="580" w:hanging="307"/>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Delivered through an intelligent SaaS platform </w:t>
      </w:r>
      <w:r>
        <w:rPr>
          <w:rFonts w:ascii="Arial" w:cs="Arial" w:eastAsia="Arial" w:hAnsi="Arial"/>
          <w:sz w:val="18"/>
          <w:szCs w:val="18"/>
          <w:color w:val="auto"/>
        </w:rPr>
        <w:t>that combines our comprehensive intelligence with analytical capabilities to help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uncover actionable insights and make better decisions, simplifying trend identification.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Data Sources and Data Engine</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98" w:lineRule="exact"/>
        <w:rPr>
          <w:sz w:val="20"/>
          <w:szCs w:val="20"/>
          <w:color w:val="auto"/>
        </w:rPr>
      </w:pPr>
    </w:p>
    <w:p>
      <w:pPr>
        <w:ind w:left="700" w:hanging="307"/>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First Party Research. </w:t>
      </w:r>
      <w:r>
        <w:rPr>
          <w:rFonts w:ascii="Arial" w:cs="Arial" w:eastAsia="Arial" w:hAnsi="Arial"/>
          <w:sz w:val="17"/>
          <w:szCs w:val="17"/>
          <w:color w:val="auto"/>
        </w:rPr>
        <w:t>Our team conducts primary research via 650,000 research calls and 3.7 million e-mail outreaches per year.</w:t>
      </w:r>
    </w:p>
    <w:p>
      <w:pPr>
        <w:spacing w:after="0" w:line="138" w:lineRule="exact"/>
        <w:rPr>
          <w:rFonts w:ascii="Arial" w:cs="Arial" w:eastAsia="Arial" w:hAnsi="Arial"/>
          <w:sz w:val="17"/>
          <w:szCs w:val="17"/>
          <w:color w:val="auto"/>
        </w:rPr>
      </w:pPr>
    </w:p>
    <w:p>
      <w:pPr>
        <w:ind w:left="700" w:right="260" w:hanging="307"/>
        <w:spacing w:after="0" w:line="282"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 sources.</w:t>
      </w:r>
    </w:p>
    <w:p>
      <w:pPr>
        <w:spacing w:after="0" w:line="67" w:lineRule="exact"/>
        <w:rPr>
          <w:rFonts w:ascii="Arial" w:cs="Arial" w:eastAsia="Arial" w:hAnsi="Arial"/>
          <w:sz w:val="18"/>
          <w:szCs w:val="18"/>
          <w:color w:val="auto"/>
        </w:rPr>
      </w:pPr>
    </w:p>
    <w:p>
      <w:pPr>
        <w:ind w:left="700" w:right="280" w:hanging="307"/>
        <w:spacing w:after="0" w:line="282"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 and Regulatory Sources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automated processes for ingesting, updating and linking information from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20,000 sources, including the federal government, states, towns and municipalities across the U.S.</w:t>
      </w:r>
    </w:p>
    <w:p>
      <w:pPr>
        <w:spacing w:after="0" w:line="67" w:lineRule="exact"/>
        <w:rPr>
          <w:rFonts w:ascii="Arial" w:cs="Arial" w:eastAsia="Arial" w:hAnsi="Arial"/>
          <w:sz w:val="18"/>
          <w:szCs w:val="18"/>
          <w:color w:val="auto"/>
        </w:rPr>
      </w:pPr>
    </w:p>
    <w:p>
      <w:pPr>
        <w:ind w:left="700" w:right="20" w:hanging="307"/>
        <w:spacing w:after="0" w:line="282"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third-party vendors, which provide us with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 billion claims covering over 250 million patients as of May 2021.</w:t>
      </w:r>
    </w:p>
    <w:p>
      <w:pPr>
        <w:spacing w:after="0" w:line="67" w:lineRule="exact"/>
        <w:rPr>
          <w:rFonts w:ascii="Arial" w:cs="Arial" w:eastAsia="Arial" w:hAnsi="Arial"/>
          <w:sz w:val="18"/>
          <w:szCs w:val="18"/>
          <w:color w:val="auto"/>
        </w:rPr>
      </w:pPr>
    </w:p>
    <w:p>
      <w:pPr>
        <w:ind w:left="700" w:right="540" w:hanging="307"/>
        <w:spacing w:after="0" w:line="282"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700" w:right="300" w:hanging="307"/>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Healthcare-Specific Intelligence. </w:t>
      </w:r>
      <w:r>
        <w:rPr>
          <w:rFonts w:ascii="Arial" w:cs="Arial" w:eastAsia="Arial" w:hAnsi="Arial"/>
          <w:sz w:val="18"/>
          <w:szCs w:val="18"/>
          <w:color w:val="auto"/>
        </w:rPr>
        <w:t>Over the last 11 years, we have built proprietary intelligence via first party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aggregated, linked, cleansed and inferred information from thousands of data sources and tied billions of data points together into a single longitudinal view of the entire healthcare ecosystem.</w:t>
      </w:r>
    </w:p>
    <w:p>
      <w:pPr>
        <w:spacing w:after="0" w:line="85" w:lineRule="exact"/>
        <w:rPr>
          <w:rFonts w:ascii="Arial" w:cs="Arial" w:eastAsia="Arial" w:hAnsi="Arial"/>
          <w:sz w:val="18"/>
          <w:szCs w:val="18"/>
          <w:color w:val="auto"/>
        </w:rPr>
      </w:pPr>
    </w:p>
    <w:p>
      <w:pPr>
        <w:ind w:left="700" w:right="160" w:hanging="307"/>
        <w:spacing w:after="0" w:line="266"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An Integrated Data and Technology Foundation that Creates a Flywheel of Innovation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technology platform provides the foundation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rapid product development and innovation by leveraging our existing data assets to produce new modules and features that solve a growing number of our customers’ business problems.</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00" w:right="360" w:hanging="307"/>
        <w:spacing w:after="0" w:line="266"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Powerful Go-to-Market Engine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sales executives (“SEs”). The efficiency of our model is demonstrated through our 2020 LTV to CAC ratio of over 10x.</w:t>
      </w:r>
    </w:p>
    <w:p>
      <w:pPr>
        <w:spacing w:after="0" w:line="81" w:lineRule="exact"/>
        <w:rPr>
          <w:rFonts w:ascii="Arial" w:cs="Arial" w:eastAsia="Arial" w:hAnsi="Arial"/>
          <w:sz w:val="18"/>
          <w:szCs w:val="18"/>
          <w:color w:val="auto"/>
        </w:rPr>
      </w:pPr>
    </w:p>
    <w:p>
      <w:pPr>
        <w:ind w:left="700" w:hanging="307"/>
        <w:spacing w:after="0" w:line="347"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Visionary, Founder-Led Management Team with a Track Record of Execution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founder-led management team has a strong track record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exceptional financial performance and of building an award-winning culture to attract and retain highly talented individuals.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31" w:lineRule="exact"/>
        <w:rPr>
          <w:sz w:val="20"/>
          <w:szCs w:val="20"/>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Acquire New Customers.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Relationships with Existing Customers.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Innovate to Strengthen our Platform and Market Leadership Position.</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Make Selective Strategic Acquisitions.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3" w:lineRule="exact"/>
        <w:rPr>
          <w:sz w:val="20"/>
          <w:szCs w:val="20"/>
          <w:color w:val="auto"/>
        </w:rPr>
      </w:pPr>
    </w:p>
    <w:p>
      <w:pPr>
        <w:ind w:left="700" w:right="60" w:hanging="307"/>
        <w:spacing w:after="0" w:line="34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9" w:lineRule="exact"/>
        <w:rPr>
          <w:rFonts w:ascii="Arial" w:cs="Arial" w:eastAsia="Arial" w:hAnsi="Arial"/>
          <w:sz w:val="16"/>
          <w:szCs w:val="16"/>
          <w:color w:val="auto"/>
        </w:rPr>
      </w:pPr>
    </w:p>
    <w:p>
      <w:pPr>
        <w:ind w:left="700" w:right="160" w:hanging="307"/>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00" w:right="560" w:hanging="307"/>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hanging="30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142" w:lineRule="exact"/>
        <w:rPr>
          <w:rFonts w:ascii="Arial" w:cs="Arial" w:eastAsia="Arial" w:hAnsi="Arial"/>
          <w:sz w:val="17"/>
          <w:szCs w:val="17"/>
          <w:color w:val="auto"/>
        </w:rPr>
      </w:pPr>
    </w:p>
    <w:p>
      <w:pPr>
        <w:ind w:left="700" w:right="48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75" w:lineRule="exact"/>
        <w:rPr>
          <w:rFonts w:ascii="Arial" w:cs="Arial" w:eastAsia="Arial" w:hAnsi="Arial"/>
          <w:sz w:val="18"/>
          <w:szCs w:val="18"/>
          <w:color w:val="auto"/>
        </w:rPr>
      </w:pPr>
    </w:p>
    <w:p>
      <w:pPr>
        <w:ind w:left="700" w:right="16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75" w:lineRule="exact"/>
        <w:rPr>
          <w:rFonts w:ascii="Arial" w:cs="Arial" w:eastAsia="Arial" w:hAnsi="Arial"/>
          <w:sz w:val="18"/>
          <w:szCs w:val="18"/>
          <w:color w:val="auto"/>
        </w:rPr>
      </w:pPr>
    </w:p>
    <w:p>
      <w:pPr>
        <w:ind w:left="700" w:right="16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75"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25"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For a discussion of these and other risks you should consider before making an investment in our Class A common stock, see the section entitled “Risk Factors.”</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We currently conduct our business through Definitive OpCo and its subsidiaries. Following this offering, Definitive Healthcare Corp. will be a holding company and its sole material asset will be an ownership interest in Definitive OpCo.</w:t>
      </w:r>
    </w:p>
    <w:p>
      <w:pPr>
        <w:spacing w:after="0" w:line="170" w:lineRule="exact"/>
        <w:rPr>
          <w:sz w:val="20"/>
          <w:szCs w:val="20"/>
          <w:color w:val="auto"/>
        </w:rPr>
      </w:pPr>
    </w:p>
    <w:p>
      <w:pPr>
        <w:ind w:left="300" w:right="140" w:firstLine="426"/>
        <w:spacing w:after="0" w:line="273" w:lineRule="auto"/>
        <w:rPr>
          <w:sz w:val="20"/>
          <w:szCs w:val="20"/>
          <w:color w:val="auto"/>
        </w:rPr>
      </w:pPr>
      <w:r>
        <w:rPr>
          <w:rFonts w:ascii="Arial" w:cs="Arial" w:eastAsia="Arial" w:hAnsi="Arial"/>
          <w:sz w:val="17"/>
          <w:szCs w:val="17"/>
          <w:color w:val="auto"/>
        </w:rPr>
        <w:t>Prior to the consummation of the Reorganization Transactions (as defined below), the amended and restated limited liability company agreement of Definitive OpCo will be amended and restated to, among other things, convert all outstanding equity interests into one class of non-voting common units (the “LLC Units”) and appoint Definitive Healthcare Corp. as the sole managing member of Definitive OpCo. We refer to the limited liability company agreement of Definitive OpCo, as in effect at the time of this offering, as the “Amended LLC Agreement.” After these transactions and prior to the consummation of the Reorganization Transactions and the completion of this offering, all of Definitive OpCo’s outstanding equity interests will be owned by the following persons (collectively, the “Pre-IPO LLC Members”):</w:t>
      </w:r>
    </w:p>
    <w:p>
      <w:pPr>
        <w:spacing w:after="0" w:line="83" w:lineRule="exact"/>
        <w:rPr>
          <w:sz w:val="20"/>
          <w:szCs w:val="20"/>
          <w:color w:val="auto"/>
        </w:rPr>
      </w:pPr>
    </w:p>
    <w:p>
      <w:pPr>
        <w:ind w:left="700" w:hanging="307"/>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Affiliates of Advent and certain other minority equity holders, indirectly through certain entities treated as corporations for U.S. tax purposes;</w:t>
      </w:r>
    </w:p>
    <w:p>
      <w:pPr>
        <w:spacing w:after="0" w:line="153" w:lineRule="exact"/>
        <w:rPr>
          <w:rFonts w:ascii="Arial" w:cs="Arial" w:eastAsia="Arial" w:hAnsi="Arial"/>
          <w:sz w:val="16"/>
          <w:szCs w:val="16"/>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Affiliates of Spectrum Equity;</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DH Holdings;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AIDH Management Holdings, LLC; and</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Affiliates of 22C Capital.</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In connection with this offering, we intend to enter into the following series of transactions to implement an internal reorganization, which we collectively refer to as the “Reorganization Transactions.” We refer to the Pre-IPO LLC Members who will retain their equity ownership in Definitive OpCo in the form of LLC Units immediately following the consummation of the Reorganization Transactions as “Continuing Pre-IPO LLC Members.”</w:t>
      </w:r>
    </w:p>
    <w:p>
      <w:pPr>
        <w:spacing w:after="0" w:line="92" w:lineRule="exact"/>
        <w:rPr>
          <w:sz w:val="20"/>
          <w:szCs w:val="20"/>
          <w:color w:val="auto"/>
        </w:rPr>
      </w:pPr>
    </w:p>
    <w:p>
      <w:pPr>
        <w:ind w:left="700" w:right="60" w:hanging="307"/>
        <w:spacing w:after="0" w:line="279"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that will be in effect upon the completion of this offering will authorize the issuance of two classes of common stock: Class A common stock and Class B common stock (collectively, our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76" w:lineRule="exact"/>
        <w:rPr>
          <w:rFonts w:ascii="Arial" w:cs="Arial" w:eastAsia="Arial" w:hAnsi="Arial"/>
          <w:sz w:val="17"/>
          <w:szCs w:val="17"/>
          <w:color w:val="auto"/>
        </w:rPr>
      </w:pPr>
    </w:p>
    <w:p>
      <w:pPr>
        <w:ind w:left="700" w:right="400" w:hanging="307"/>
        <w:spacing w:after="0" w:line="291"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the completion of this offering, we will acquire, directly and indirectly, LLC Units through the Mergers, in which certain entities treated as corporations for U.S. tax purposes that hold LLC Units (individually, a “Blocker Company” and together, the “Blocker</w:t>
      </w:r>
    </w:p>
    <w:p>
      <w:pPr>
        <w:ind w:left="700" w:right="240"/>
        <w:spacing w:after="0" w:line="281" w:lineRule="auto"/>
        <w:rPr>
          <w:sz w:val="20"/>
          <w:szCs w:val="20"/>
          <w:color w:val="auto"/>
        </w:rPr>
      </w:pPr>
      <w:r>
        <w:rPr>
          <w:rFonts w:ascii="Arial" w:cs="Arial" w:eastAsia="Arial" w:hAnsi="Arial"/>
          <w:sz w:val="16"/>
          <w:szCs w:val="16"/>
          <w:color w:val="auto"/>
        </w:rPr>
        <w:t>Companies”), will each merge with a merger subsidiary created by us (and survive such merger as a wholly owned subsidiary of Definitive Healthcare Corp.), after which each Blocker Company will immediately merge into Definitive Healthcare Corp. The shareholders of the</w:t>
      </w:r>
    </w:p>
    <w:p>
      <w:pPr>
        <w:spacing w:after="0" w:line="1" w:lineRule="exact"/>
        <w:rPr>
          <w:sz w:val="20"/>
          <w:szCs w:val="20"/>
          <w:color w:val="auto"/>
        </w:rPr>
      </w:pPr>
    </w:p>
    <w:p>
      <w:pPr>
        <w:ind w:left="700" w:right="40"/>
        <w:spacing w:after="0" w:line="253" w:lineRule="auto"/>
        <w:rPr>
          <w:sz w:val="20"/>
          <w:szCs w:val="20"/>
          <w:color w:val="auto"/>
        </w:rPr>
      </w:pPr>
      <w:r>
        <w:rPr>
          <w:rFonts w:ascii="Arial" w:cs="Arial" w:eastAsia="Arial" w:hAnsi="Arial"/>
          <w:sz w:val="18"/>
          <w:szCs w:val="18"/>
          <w:color w:val="auto"/>
        </w:rPr>
        <w:t>Blocker Companies (the “Reorganization Parties”), including affiliates of Advent, will collectively hold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98" w:lineRule="exact"/>
        <w:rPr>
          <w:sz w:val="20"/>
          <w:szCs w:val="20"/>
          <w:color w:val="auto"/>
        </w:rPr>
      </w:pPr>
    </w:p>
    <w:p>
      <w:pPr>
        <w:ind w:left="700" w:hanging="307"/>
        <w:spacing w:after="0" w:line="267" w:lineRule="auto"/>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Class A Units in AIDH Management Holdings, LLC (the “Management LLC Class A Units”) that correspond to Class A Units in AIDH Topco, LLC (the “Topco Class A Units”) on a one-for-one basis, AIDH Management Holdings, LLC granted Class B Units (the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Management LLC Class A Units (the “Reclassified Management Holdings Class B Units”) and the Class B Units issued to AIDH Management Holdings, LLC by AIDH Topco, LLC will be converted and reclassified into LLC Units (the “Reclassified Class B LLC Units”) and will be subject to the vesting terms described in “Executive and Director Compensation—Equity Compensation.” In connection with the reorganization, Class B common stock will be issued to each holder of AIDH Management Holdings, LLC Class A Units and Reclassified Management Holdings Class B Units, on a one-for-one basis to such holder’s Management, LLC Class A Units and Reclassified Management Holdings Class B Units; provided that Class B common stock issued to a holder of Reclassified Management LLC Class B Units will not be entitled to any voting rights until such time as such Reclassified Management LLC Class B Units vest.</w:t>
      </w:r>
    </w:p>
    <w:p>
      <w:pPr>
        <w:spacing w:after="0" w:line="93" w:lineRule="exact"/>
        <w:rPr>
          <w:rFonts w:ascii="Arial" w:cs="Arial" w:eastAsia="Arial" w:hAnsi="Arial"/>
          <w:sz w:val="17"/>
          <w:szCs w:val="17"/>
          <w:color w:val="auto"/>
        </w:rPr>
      </w:pPr>
    </w:p>
    <w:p>
      <w:pPr>
        <w:ind w:left="700" w:right="40" w:hanging="307"/>
        <w:spacing w:after="0" w:line="311"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Definitive OpCo will enter into the Amended LLC Agreement. Under the Amended LLC Agreement, holders of LLC Units, including the Continuing Pre-IPO LLC Members, will have the right, from and after the completion of this offering (subject to the terms of the Amended LLC Agreement), to require Definitive OpCo to redeem all or a portion of their LLC Units for, at our election, newly issued shares of Class A</w:t>
      </w:r>
    </w:p>
    <w:p>
      <w:pPr>
        <w:spacing w:after="0" w:line="3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59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2590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3" w:lineRule="auto"/>
        <w:rPr>
          <w:sz w:val="20"/>
          <w:szCs w:val="20"/>
          <w:color w:val="auto"/>
        </w:rPr>
      </w:pPr>
      <w:r>
        <w:rPr>
          <w:rFonts w:ascii="Arial" w:cs="Arial" w:eastAsia="Arial" w:hAnsi="Arial"/>
          <w:sz w:val="18"/>
          <w:szCs w:val="18"/>
          <w:color w:val="auto"/>
        </w:rPr>
        <w:t>common stock on a one-for-one basis or a cash payment equal to the volume-weighted average market price of one share of our Class A common stock for each LLC Unit redeemed (subject to customary adjustments, including for stock splits, stock dividends and reclassifications) in accordance with the terms of the Amended LLC Agreement. Additionally, in the event of a redemption request from a holder of LLC Units, we may, at our option, effect a direct exchange of cash or Class A common stock for LLC Units in lieu of such a redemption. Shares of Class B common stock will be cancelled on a one-for-one basis if we, following a redemption request from a holder of LLC Units, redeem or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102" w:lineRule="exact"/>
        <w:rPr>
          <w:sz w:val="20"/>
          <w:szCs w:val="20"/>
          <w:color w:val="auto"/>
        </w:rPr>
      </w:pPr>
    </w:p>
    <w:p>
      <w:pPr>
        <w:jc w:val="both"/>
        <w:ind w:left="700" w:right="300" w:hanging="307"/>
        <w:spacing w:after="0" w:line="287"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acquire newly issued LLC Units from Definitive OpCo at a purchase price per LLC Unit equal to the initial public offering price of Class A common stock, after deducting the underwriting discounts and commissions,</w:t>
      </w:r>
    </w:p>
    <w:p>
      <w:pPr>
        <w:sectPr>
          <w:pgSz w:w="11900" w:h="16838" w:orient="portrait"/>
          <w:cols w:equalWidth="0" w:num="1">
            <w:col w:w="10940"/>
          </w:cols>
          <w:pgMar w:left="320" w:top="459" w:right="639" w:bottom="1440" w:gutter="0" w:footer="0" w:header="0"/>
        </w:sectPr>
      </w:pPr>
    </w:p>
    <w:p>
      <w:pPr>
        <w:spacing w:after="0" w:line="2" w:lineRule="exact"/>
        <w:rPr>
          <w:sz w:val="20"/>
          <w:szCs w:val="20"/>
          <w:color w:val="auto"/>
        </w:rPr>
      </w:pPr>
    </w:p>
    <w:p>
      <w:pPr>
        <w:ind w:left="700" w:right="100"/>
        <w:spacing w:after="0" w:line="260" w:lineRule="auto"/>
        <w:rPr>
          <w:sz w:val="20"/>
          <w:szCs w:val="20"/>
          <w:color w:val="auto"/>
        </w:rPr>
      </w:pPr>
      <w:r>
        <w:rPr>
          <w:rFonts w:ascii="Arial" w:cs="Arial" w:eastAsia="Arial" w:hAnsi="Arial"/>
          <w:sz w:val="18"/>
          <w:szCs w:val="18"/>
          <w:color w:val="auto"/>
        </w:rPr>
        <w:t>collectively representing % of Definitive OpCo’s outstanding LLC Units (or %, if the underwriters exercise their option to purchase additional shares of Class A common stock in full).</w:t>
      </w:r>
    </w:p>
    <w:p>
      <w:pPr>
        <w:sectPr>
          <w:pgSz w:w="11900" w:h="16838" w:orient="portrait"/>
          <w:cols w:equalWidth="0" w:num="1">
            <w:col w:w="10940"/>
          </w:cols>
          <w:pgMar w:left="320" w:top="459" w:right="639" w:bottom="1440" w:gutter="0" w:footer="0" w:header="0"/>
          <w:type w:val="continuous"/>
        </w:sectPr>
      </w:pPr>
    </w:p>
    <w:p>
      <w:pPr>
        <w:spacing w:after="0" w:line="91" w:lineRule="exact"/>
        <w:rPr>
          <w:sz w:val="20"/>
          <w:szCs w:val="20"/>
          <w:color w:val="auto"/>
        </w:rPr>
      </w:pPr>
    </w:p>
    <w:p>
      <w:pPr>
        <w:ind w:left="700" w:right="60" w:hanging="307"/>
        <w:spacing w:after="0" w:line="287"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will enter into one or more Tax Receivable Agreements that will obligate us to make payments to the Continuing Pre-IPO LLC Members, the Reorganization Parties, and any future party to the Tax Receivable Agreements (collectively, the “TRA Parties”) in the aggregate generally equal to 85% of the applicable cash savings that we actually realize, or in certain circumstances are deemed to realize, as a result of</w:t>
      </w:r>
    </w:p>
    <w:p>
      <w:pPr>
        <w:spacing w:after="0" w:line="2" w:lineRule="exact"/>
        <w:rPr>
          <w:rFonts w:ascii="Arial" w:cs="Arial" w:eastAsia="Arial" w:hAnsi="Arial"/>
          <w:sz w:val="16"/>
          <w:szCs w:val="16"/>
          <w:color w:val="auto"/>
        </w:rPr>
      </w:pPr>
    </w:p>
    <w:p>
      <w:pPr>
        <w:ind w:left="700" w:right="40"/>
        <w:spacing w:after="0" w:line="271" w:lineRule="auto"/>
        <w:rPr>
          <w:rFonts w:ascii="Arial" w:cs="Arial" w:eastAsia="Arial" w:hAnsi="Arial"/>
          <w:sz w:val="16"/>
          <w:szCs w:val="16"/>
          <w:color w:val="auto"/>
        </w:rPr>
      </w:pPr>
      <w:r>
        <w:rPr>
          <w:rFonts w:ascii="Arial" w:cs="Arial" w:eastAsia="Arial" w:hAnsi="Arial"/>
          <w:sz w:val="17"/>
          <w:szCs w:val="17"/>
          <w:color w:val="auto"/>
        </w:rPr>
        <w:t>(i)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 (iii) certain payments made under the Tax Receivable Agreements. We will retain the benefit of the remaining 15% of these tax savings.</w:t>
      </w:r>
    </w:p>
    <w:p>
      <w:pPr>
        <w:spacing w:after="0" w:line="83" w:lineRule="exact"/>
        <w:rPr>
          <w:rFonts w:ascii="Arial" w:cs="Arial" w:eastAsia="Arial" w:hAnsi="Arial"/>
          <w:sz w:val="16"/>
          <w:szCs w:val="16"/>
          <w:color w:val="auto"/>
        </w:rPr>
      </w:pPr>
    </w:p>
    <w:p>
      <w:pPr>
        <w:ind w:left="700" w:hanging="307"/>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will cause Definitive OpCo to use the proceeds from the issuance of LLC Units to us to (i) pay fees and expenses of approximately</w:t>
      </w:r>
    </w:p>
    <w:p>
      <w:pPr>
        <w:spacing w:after="0" w:line="35" w:lineRule="exact"/>
        <w:rPr>
          <w:sz w:val="20"/>
          <w:szCs w:val="20"/>
          <w:color w:val="auto"/>
        </w:rPr>
      </w:pPr>
    </w:p>
    <w:p>
      <w:pPr>
        <w:ind w:left="1500" w:hanging="810"/>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this offering and (ii) as otherwise set forth in “Use of Proceeds.”</w:t>
      </w:r>
    </w:p>
    <w:p>
      <w:pPr>
        <w:spacing w:after="0" w:line="116" w:lineRule="exact"/>
        <w:rPr>
          <w:sz w:val="20"/>
          <w:szCs w:val="20"/>
          <w:color w:val="auto"/>
        </w:rPr>
      </w:pPr>
    </w:p>
    <w:p>
      <w:pPr>
        <w:ind w:left="400"/>
        <w:spacing w:after="0"/>
        <w:tabs>
          <w:tab w:leader="none" w:pos="680" w:val="left"/>
          <w:tab w:leader="none" w:pos="2360" w:val="left"/>
        </w:tabs>
        <w:rPr>
          <w:sz w:val="20"/>
          <w:szCs w:val="20"/>
          <w:color w:val="auto"/>
        </w:rPr>
      </w:pPr>
      <w:r>
        <w:rPr>
          <w:rFonts w:ascii="Arial" w:cs="Arial" w:eastAsia="Arial" w:hAnsi="Arial"/>
          <w:sz w:val="18"/>
          <w:szCs w:val="18"/>
          <w:color w:val="auto"/>
        </w:rPr>
        <w:t>•</w:t>
        <w:tab/>
        <w:t>We will issue</w:t>
      </w:r>
      <w:r>
        <w:rPr>
          <w:sz w:val="20"/>
          <w:szCs w:val="20"/>
          <w:color w:val="auto"/>
        </w:rPr>
        <w:tab/>
      </w:r>
      <w:r>
        <w:rPr>
          <w:rFonts w:ascii="Arial" w:cs="Arial" w:eastAsia="Arial" w:hAnsi="Arial"/>
          <w:sz w:val="16"/>
          <w:szCs w:val="16"/>
          <w:color w:val="auto"/>
        </w:rPr>
        <w:t>shares of Class A common stock pursuant to this offering.</w:t>
      </w:r>
    </w:p>
    <w:p>
      <w:pPr>
        <w:spacing w:after="0" w:line="225"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Continuing Pre-IPO LLC Members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The following diagram depicts our organizational structure immediately following the consummation of the Reorganization Transactions, the completion of this offering and the application of the net proceeds from this offering, based on an assumed initial public offering price of</w:t>
      </w:r>
    </w:p>
    <w:p>
      <w:pPr>
        <w:ind w:left="300" w:right="580" w:hanging="2"/>
        <w:spacing w:after="0" w:line="277" w:lineRule="auto"/>
        <w:tabs>
          <w:tab w:leader="none" w:pos="111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 share of Class A common stock (the midpoint of the estimated price range set forth on the cover page of this prospectus) and assuming the underwriters do not exercise their option to purchase additional shares of Class A common stock.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corporate structure following the completion of this offering, as described above, is commonly referred to as an “Up-C” structure, which is commonly used by partnerships and limited liability companies when they undertake an initial public offering of their business. Our Up-C structure will allow the Continuing Pre-IPO LLC Members to continue to realize tax benefits associated with owning interests in an entity that is treated as a partnership, or “pass-through” entity, for U.S. federal and applicable state and local income tax purposes following this offering. One of these benefits is that future taxable income of Definitive OpCo that is allocated to such owners will be taxed on a flow-through basis and, therefore, will generally not be subject to U.S. federal and</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0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57" w:lineRule="auto"/>
        <w:rPr>
          <w:sz w:val="20"/>
          <w:szCs w:val="20"/>
          <w:color w:val="auto"/>
        </w:rPr>
      </w:pPr>
      <w:r>
        <w:rPr>
          <w:rFonts w:ascii="Arial" w:cs="Arial" w:eastAsia="Arial" w:hAnsi="Arial"/>
          <w:sz w:val="18"/>
          <w:szCs w:val="18"/>
          <w:color w:val="auto"/>
        </w:rPr>
        <w:t>applicable state and local income taxes at the entity level. Additionally, because the LLC Units that the Continuing Pre-IPO LLC Members will hold are redeemable or exchangeable for, at our election, either newly issued shares of Class A common stock on a one-for-one basis or a cash payment in accordance with the terms of the Amended LLC Agreement, our “Up-C” structure also provides the Continuing Pre-IPO LLC Members with potential liquidity that holders of nonpublicly traded limited liability companies are not typically afforded. See “Organizational Structure” and “Description of Capital Stock.”</w:t>
      </w:r>
    </w:p>
    <w:p>
      <w:pPr>
        <w:spacing w:after="0" w:line="188" w:lineRule="exact"/>
        <w:rPr>
          <w:sz w:val="20"/>
          <w:szCs w:val="20"/>
          <w:color w:val="auto"/>
        </w:rPr>
      </w:pPr>
    </w:p>
    <w:p>
      <w:pPr>
        <w:ind w:left="300" w:right="200" w:firstLine="426"/>
        <w:spacing w:after="0" w:line="289" w:lineRule="auto"/>
        <w:rPr>
          <w:sz w:val="20"/>
          <w:szCs w:val="20"/>
          <w:color w:val="auto"/>
        </w:rPr>
      </w:pPr>
      <w:r>
        <w:rPr>
          <w:rFonts w:ascii="Arial" w:cs="Arial" w:eastAsia="Arial" w:hAnsi="Arial"/>
          <w:sz w:val="16"/>
          <w:szCs w:val="16"/>
          <w:color w:val="auto"/>
        </w:rPr>
        <w:t>We will also hold LLC Units, and therefore receive the same benefits as the Continuing Pre-IPO LLC Members with respect to our ownership in an entity treated as a partnership, or “pass-through” entity, for U.S. federal and applicable state and local income tax purposes. Future taxable redemptions or exchanges by the Continuing Pre-IPO LLC Members for shares of our Class A common stock or cash and the Mergers are expected to result in favorable tax attributes that will be allocated to us. These tax attributes would not be available to us in the absence of those transactions and are expected to reduce the amount of tax that we would otherwise be required to pay in the future. In connection with the Reorganization Transactions, we will enter into one or more Tax Receivable Agreements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Agreements. We will retain the benefit of the remaining 15% of these tax savings. See “Organizational Structure—Holding Company Structure and the Tax Receivable Agreements.”</w:t>
      </w:r>
    </w:p>
    <w:p>
      <w:pPr>
        <w:spacing w:after="0" w:line="166" w:lineRule="exact"/>
        <w:rPr>
          <w:sz w:val="20"/>
          <w:szCs w:val="20"/>
          <w:color w:val="auto"/>
        </w:rPr>
      </w:pPr>
    </w:p>
    <w:p>
      <w:pPr>
        <w:ind w:left="300" w:right="200" w:firstLine="426"/>
        <w:spacing w:after="0" w:line="257" w:lineRule="auto"/>
        <w:rPr>
          <w:sz w:val="20"/>
          <w:szCs w:val="20"/>
          <w:color w:val="auto"/>
        </w:rPr>
      </w:pPr>
      <w:r>
        <w:rPr>
          <w:rFonts w:ascii="Arial" w:cs="Arial" w:eastAsia="Arial" w:hAnsi="Arial"/>
          <w:sz w:val="18"/>
          <w:szCs w:val="18"/>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Upon completion of the transactions described above, this offering and the application of the Company’s net proceeds from this offering:</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8380" w:type="dxa"/>
            <w:vAlign w:val="bottom"/>
            <w:gridSpan w:val="7"/>
          </w:tcPr>
          <w:p>
            <w:pPr>
              <w:ind w:left="240"/>
              <w:spacing w:after="0"/>
              <w:rPr>
                <w:sz w:val="20"/>
                <w:szCs w:val="20"/>
                <w:color w:val="auto"/>
              </w:rPr>
            </w:pPr>
            <w:r>
              <w:rPr>
                <w:rFonts w:ascii="Arial" w:cs="Arial" w:eastAsia="Arial" w:hAnsi="Arial"/>
                <w:sz w:val="18"/>
                <w:szCs w:val="18"/>
                <w:color w:val="auto"/>
                <w:w w:val="99"/>
              </w:rPr>
              <w:t>Definitive Healthcare Corp. will be appointed as the managing member of Definitive OpCo and will hold</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LLC Units,</w:t>
            </w:r>
          </w:p>
        </w:tc>
      </w:tr>
      <w:tr>
        <w:trPr>
          <w:trHeight w:val="216"/>
        </w:trPr>
        <w:tc>
          <w:tcPr>
            <w:tcW w:w="88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w w:val="94"/>
              </w:rPr>
              <w:t>constituting</w:t>
            </w:r>
          </w:p>
        </w:tc>
        <w:tc>
          <w:tcPr>
            <w:tcW w:w="420" w:type="dxa"/>
            <w:vAlign w:val="bottom"/>
          </w:tcPr>
          <w:p>
            <w:pPr>
              <w:spacing w:after="0"/>
              <w:rPr>
                <w:sz w:val="18"/>
                <w:szCs w:val="18"/>
                <w:color w:val="auto"/>
              </w:rPr>
            </w:pPr>
          </w:p>
        </w:tc>
        <w:tc>
          <w:tcPr>
            <w:tcW w:w="5100" w:type="dxa"/>
            <w:vAlign w:val="bottom"/>
            <w:gridSpan w:val="4"/>
          </w:tcPr>
          <w:p>
            <w:pPr>
              <w:jc w:val="center"/>
              <w:spacing w:after="0"/>
              <w:rPr>
                <w:sz w:val="20"/>
                <w:szCs w:val="20"/>
                <w:color w:val="auto"/>
              </w:rPr>
            </w:pPr>
            <w:r>
              <w:rPr>
                <w:rFonts w:ascii="Arial" w:cs="Arial" w:eastAsia="Arial" w:hAnsi="Arial"/>
                <w:sz w:val="18"/>
                <w:szCs w:val="18"/>
                <w:color w:val="auto"/>
                <w:w w:val="92"/>
              </w:rPr>
              <w:t>% of the outstanding economic interests in Definitive OpCo (or</w:t>
            </w:r>
          </w:p>
        </w:tc>
        <w:tc>
          <w:tcPr>
            <w:tcW w:w="1740" w:type="dxa"/>
            <w:vAlign w:val="bottom"/>
          </w:tcPr>
          <w:p>
            <w:pPr>
              <w:ind w:left="460"/>
              <w:spacing w:after="0"/>
              <w:rPr>
                <w:sz w:val="20"/>
                <w:szCs w:val="20"/>
                <w:color w:val="auto"/>
              </w:rPr>
            </w:pPr>
            <w:r>
              <w:rPr>
                <w:rFonts w:ascii="Arial" w:cs="Arial" w:eastAsia="Arial" w:hAnsi="Arial"/>
                <w:sz w:val="18"/>
                <w:szCs w:val="18"/>
                <w:color w:val="auto"/>
                <w:w w:val="90"/>
              </w:rPr>
              <w:t>units, constituting</w:t>
            </w:r>
          </w:p>
        </w:tc>
        <w:tc>
          <w:tcPr>
            <w:tcW w:w="58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 of the</w:t>
            </w:r>
          </w:p>
        </w:tc>
      </w:tr>
      <w:tr>
        <w:trPr>
          <w:trHeight w:val="216"/>
        </w:trPr>
        <w:tc>
          <w:tcPr>
            <w:tcW w:w="880" w:type="dxa"/>
            <w:vAlign w:val="bottom"/>
          </w:tcPr>
          <w:p>
            <w:pPr>
              <w:spacing w:after="0"/>
              <w:rPr>
                <w:sz w:val="18"/>
                <w:szCs w:val="18"/>
                <w:color w:val="auto"/>
              </w:rPr>
            </w:pPr>
          </w:p>
        </w:tc>
        <w:tc>
          <w:tcPr>
            <w:tcW w:w="10140" w:type="dxa"/>
            <w:vAlign w:val="bottom"/>
            <w:gridSpan w:val="9"/>
          </w:tcPr>
          <w:p>
            <w:pPr>
              <w:ind w:left="240"/>
              <w:spacing w:after="0"/>
              <w:rPr>
                <w:sz w:val="20"/>
                <w:szCs w:val="20"/>
                <w:color w:val="auto"/>
              </w:rPr>
            </w:pPr>
            <w:r>
              <w:rPr>
                <w:rFonts w:ascii="Arial" w:cs="Arial" w:eastAsia="Arial" w:hAnsi="Arial"/>
                <w:sz w:val="18"/>
                <w:szCs w:val="18"/>
                <w:color w:val="auto"/>
                <w:w w:val="95"/>
              </w:rPr>
              <w:t>outstanding economic interests in Definitive OpCo if the underwriters exercise their option to purchase additional shares of Class A</w:t>
            </w:r>
          </w:p>
        </w:tc>
      </w:tr>
      <w:tr>
        <w:trPr>
          <w:trHeight w:val="230"/>
        </w:trPr>
        <w:tc>
          <w:tcPr>
            <w:tcW w:w="880" w:type="dxa"/>
            <w:vAlign w:val="bottom"/>
          </w:tcPr>
          <w:p>
            <w:pPr>
              <w:spacing w:after="0"/>
              <w:rPr>
                <w:sz w:val="20"/>
                <w:szCs w:val="20"/>
                <w:color w:val="auto"/>
              </w:rPr>
            </w:pPr>
          </w:p>
        </w:tc>
        <w:tc>
          <w:tcPr>
            <w:tcW w:w="2840" w:type="dxa"/>
            <w:vAlign w:val="bottom"/>
            <w:gridSpan w:val="3"/>
          </w:tcPr>
          <w:p>
            <w:pPr>
              <w:ind w:left="240"/>
              <w:spacing w:after="0"/>
              <w:rPr>
                <w:sz w:val="20"/>
                <w:szCs w:val="20"/>
                <w:color w:val="auto"/>
              </w:rPr>
            </w:pPr>
            <w:r>
              <w:rPr>
                <w:rFonts w:ascii="Arial" w:cs="Arial" w:eastAsia="Arial" w:hAnsi="Arial"/>
                <w:sz w:val="18"/>
                <w:szCs w:val="18"/>
                <w:color w:val="auto"/>
              </w:rPr>
              <w:t>common stock in full).</w:t>
            </w: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3"/>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5240" w:type="dxa"/>
            <w:vAlign w:val="bottom"/>
            <w:gridSpan w:val="5"/>
          </w:tcPr>
          <w:p>
            <w:pPr>
              <w:ind w:left="240"/>
              <w:spacing w:after="0"/>
              <w:rPr>
                <w:sz w:val="20"/>
                <w:szCs w:val="20"/>
                <w:color w:val="auto"/>
              </w:rPr>
            </w:pPr>
            <w:r>
              <w:rPr>
                <w:rFonts w:ascii="Arial" w:cs="Arial" w:eastAsia="Arial" w:hAnsi="Arial"/>
                <w:sz w:val="18"/>
                <w:szCs w:val="18"/>
                <w:color w:val="auto"/>
                <w:w w:val="96"/>
              </w:rPr>
              <w:t>The Continuing Pre-IPO LLC Members will collectively hold (i) (x)</w:t>
            </w:r>
          </w:p>
        </w:tc>
        <w:tc>
          <w:tcPr>
            <w:tcW w:w="3720" w:type="dxa"/>
            <w:vAlign w:val="bottom"/>
            <w:gridSpan w:val="3"/>
          </w:tcPr>
          <w:p>
            <w:pPr>
              <w:ind w:left="640"/>
              <w:spacing w:after="0"/>
              <w:rPr>
                <w:sz w:val="20"/>
                <w:szCs w:val="20"/>
                <w:color w:val="auto"/>
              </w:rPr>
            </w:pPr>
            <w:r>
              <w:rPr>
                <w:rFonts w:ascii="Arial" w:cs="Arial" w:eastAsia="Arial" w:hAnsi="Arial"/>
                <w:sz w:val="18"/>
                <w:szCs w:val="18"/>
                <w:color w:val="auto"/>
                <w:w w:val="94"/>
              </w:rPr>
              <w:t>shares of Class B common stock and (y)</w:t>
            </w:r>
          </w:p>
        </w:tc>
        <w:tc>
          <w:tcPr>
            <w:tcW w:w="1180" w:type="dxa"/>
            <w:vAlign w:val="bottom"/>
          </w:tcPr>
          <w:p>
            <w:pPr>
              <w:ind w:left="540"/>
              <w:spacing w:after="0"/>
              <w:rPr>
                <w:sz w:val="20"/>
                <w:szCs w:val="20"/>
                <w:color w:val="auto"/>
              </w:rPr>
            </w:pPr>
            <w:r>
              <w:rPr>
                <w:rFonts w:ascii="Arial" w:cs="Arial" w:eastAsia="Arial" w:hAnsi="Arial"/>
                <w:sz w:val="18"/>
                <w:szCs w:val="18"/>
                <w:color w:val="auto"/>
              </w:rPr>
              <w:t>LLC</w:t>
            </w:r>
          </w:p>
        </w:tc>
      </w:tr>
      <w:tr>
        <w:trPr>
          <w:trHeight w:val="216"/>
        </w:trPr>
        <w:tc>
          <w:tcPr>
            <w:tcW w:w="880" w:type="dxa"/>
            <w:vAlign w:val="bottom"/>
          </w:tcPr>
          <w:p>
            <w:pPr>
              <w:spacing w:after="0"/>
              <w:rPr>
                <w:sz w:val="18"/>
                <w:szCs w:val="18"/>
                <w:color w:val="auto"/>
              </w:rPr>
            </w:pPr>
          </w:p>
        </w:tc>
        <w:tc>
          <w:tcPr>
            <w:tcW w:w="5240" w:type="dxa"/>
            <w:vAlign w:val="bottom"/>
            <w:gridSpan w:val="5"/>
          </w:tcPr>
          <w:p>
            <w:pPr>
              <w:ind w:left="240"/>
              <w:spacing w:after="0"/>
              <w:rPr>
                <w:sz w:val="20"/>
                <w:szCs w:val="20"/>
                <w:color w:val="auto"/>
              </w:rPr>
            </w:pPr>
            <w:r>
              <w:rPr>
                <w:rFonts w:ascii="Arial" w:cs="Arial" w:eastAsia="Arial" w:hAnsi="Arial"/>
                <w:sz w:val="18"/>
                <w:szCs w:val="18"/>
                <w:color w:val="auto"/>
                <w:w w:val="92"/>
              </w:rPr>
              <w:t>Units, which together directly and indirectly represent approximately</w:t>
            </w:r>
          </w:p>
        </w:tc>
        <w:tc>
          <w:tcPr>
            <w:tcW w:w="4900" w:type="dxa"/>
            <w:vAlign w:val="bottom"/>
            <w:gridSpan w:val="4"/>
          </w:tcPr>
          <w:p>
            <w:pPr>
              <w:ind w:left="680"/>
              <w:spacing w:after="0"/>
              <w:rPr>
                <w:sz w:val="20"/>
                <w:szCs w:val="20"/>
                <w:color w:val="auto"/>
              </w:rPr>
            </w:pPr>
            <w:r>
              <w:rPr>
                <w:rFonts w:ascii="Arial" w:cs="Arial" w:eastAsia="Arial" w:hAnsi="Arial"/>
                <w:sz w:val="18"/>
                <w:szCs w:val="18"/>
                <w:color w:val="auto"/>
              </w:rPr>
              <w:t>% of the economic interest in Definitive OpCo</w:t>
            </w:r>
          </w:p>
        </w:tc>
      </w:tr>
      <w:tr>
        <w:trPr>
          <w:trHeight w:val="216"/>
        </w:trPr>
        <w:tc>
          <w:tcPr>
            <w:tcW w:w="88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(or</w:t>
            </w:r>
          </w:p>
        </w:tc>
        <w:tc>
          <w:tcPr>
            <w:tcW w:w="9020" w:type="dxa"/>
            <w:vAlign w:val="bottom"/>
            <w:gridSpan w:val="8"/>
          </w:tcPr>
          <w:p>
            <w:pPr>
              <w:ind w:left="40"/>
              <w:spacing w:after="0"/>
              <w:rPr>
                <w:sz w:val="20"/>
                <w:szCs w:val="20"/>
                <w:color w:val="auto"/>
              </w:rPr>
            </w:pPr>
            <w:r>
              <w:rPr>
                <w:rFonts w:ascii="Arial" w:cs="Arial" w:eastAsia="Arial" w:hAnsi="Arial"/>
                <w:sz w:val="18"/>
                <w:szCs w:val="18"/>
                <w:color w:val="auto"/>
                <w:w w:val="93"/>
              </w:rPr>
              <w:t>% if the underwriters exercise their option to purchase additional shares of Class A common stock in full) and (ii) through</w:t>
            </w:r>
          </w:p>
        </w:tc>
      </w:tr>
      <w:tr>
        <w:trPr>
          <w:trHeight w:val="216"/>
        </w:trPr>
        <w:tc>
          <w:tcPr>
            <w:tcW w:w="88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Arial" w:cs="Arial" w:eastAsia="Arial" w:hAnsi="Arial"/>
                <w:sz w:val="18"/>
                <w:szCs w:val="18"/>
                <w:color w:val="auto"/>
              </w:rPr>
              <w:t>their collective ownership of</w:t>
            </w:r>
          </w:p>
        </w:tc>
        <w:tc>
          <w:tcPr>
            <w:tcW w:w="2400" w:type="dxa"/>
            <w:vAlign w:val="bottom"/>
            <w:gridSpan w:val="2"/>
          </w:tcPr>
          <w:p>
            <w:pPr>
              <w:jc w:val="right"/>
              <w:ind w:right="590"/>
              <w:spacing w:after="0"/>
              <w:rPr>
                <w:sz w:val="20"/>
                <w:szCs w:val="20"/>
                <w:color w:val="auto"/>
              </w:rPr>
            </w:pPr>
            <w:r>
              <w:rPr>
                <w:rFonts w:ascii="Arial" w:cs="Arial" w:eastAsia="Arial" w:hAnsi="Arial"/>
                <w:sz w:val="18"/>
                <w:szCs w:val="18"/>
                <w:color w:val="auto"/>
                <w:w w:val="96"/>
              </w:rPr>
              <w:t>shares of Class A and</w:t>
            </w:r>
          </w:p>
        </w:tc>
        <w:tc>
          <w:tcPr>
            <w:tcW w:w="3720" w:type="dxa"/>
            <w:vAlign w:val="bottom"/>
            <w:gridSpan w:val="3"/>
          </w:tcPr>
          <w:p>
            <w:pPr>
              <w:ind w:left="40"/>
              <w:spacing w:after="0"/>
              <w:rPr>
                <w:sz w:val="20"/>
                <w:szCs w:val="20"/>
                <w:color w:val="auto"/>
              </w:rPr>
            </w:pPr>
            <w:r>
              <w:rPr>
                <w:rFonts w:ascii="Arial" w:cs="Arial" w:eastAsia="Arial" w:hAnsi="Arial"/>
                <w:sz w:val="18"/>
                <w:szCs w:val="18"/>
                <w:color w:val="auto"/>
                <w:w w:val="95"/>
              </w:rPr>
              <w:t>shares of Class B common stock, approximately</w:t>
            </w:r>
          </w:p>
        </w:tc>
        <w:tc>
          <w:tcPr>
            <w:tcW w:w="1180" w:type="dxa"/>
            <w:vAlign w:val="bottom"/>
          </w:tcPr>
          <w:p>
            <w:pPr>
              <w:ind w:left="520"/>
              <w:spacing w:after="0"/>
              <w:rPr>
                <w:sz w:val="20"/>
                <w:szCs w:val="20"/>
                <w:color w:val="auto"/>
              </w:rPr>
            </w:pPr>
            <w:r>
              <w:rPr>
                <w:rFonts w:ascii="Arial" w:cs="Arial" w:eastAsia="Arial" w:hAnsi="Arial"/>
                <w:sz w:val="18"/>
                <w:szCs w:val="18"/>
                <w:color w:val="auto"/>
              </w:rPr>
              <w:t>% of</w:t>
            </w:r>
          </w:p>
        </w:tc>
      </w:tr>
      <w:tr>
        <w:trPr>
          <w:trHeight w:val="216"/>
        </w:trPr>
        <w:tc>
          <w:tcPr>
            <w:tcW w:w="880" w:type="dxa"/>
            <w:vAlign w:val="bottom"/>
          </w:tcPr>
          <w:p>
            <w:pPr>
              <w:spacing w:after="0"/>
              <w:rPr>
                <w:sz w:val="18"/>
                <w:szCs w:val="18"/>
                <w:color w:val="auto"/>
              </w:rPr>
            </w:pPr>
          </w:p>
        </w:tc>
        <w:tc>
          <w:tcPr>
            <w:tcW w:w="4280" w:type="dxa"/>
            <w:vAlign w:val="bottom"/>
            <w:gridSpan w:val="4"/>
          </w:tcPr>
          <w:p>
            <w:pPr>
              <w:ind w:left="240"/>
              <w:spacing w:after="0"/>
              <w:rPr>
                <w:sz w:val="20"/>
                <w:szCs w:val="20"/>
                <w:color w:val="auto"/>
              </w:rPr>
            </w:pPr>
            <w:r>
              <w:rPr>
                <w:rFonts w:ascii="Arial" w:cs="Arial" w:eastAsia="Arial" w:hAnsi="Arial"/>
                <w:sz w:val="18"/>
                <w:szCs w:val="18"/>
                <w:color w:val="auto"/>
                <w:w w:val="97"/>
              </w:rPr>
              <w:t>the combined voting power of our common stock (or</w:t>
            </w:r>
          </w:p>
        </w:tc>
        <w:tc>
          <w:tcPr>
            <w:tcW w:w="5860" w:type="dxa"/>
            <w:vAlign w:val="bottom"/>
            <w:gridSpan w:val="5"/>
          </w:tcPr>
          <w:p>
            <w:pPr>
              <w:ind w:left="480"/>
              <w:spacing w:after="0"/>
              <w:rPr>
                <w:sz w:val="20"/>
                <w:szCs w:val="20"/>
                <w:color w:val="auto"/>
              </w:rPr>
            </w:pPr>
            <w:r>
              <w:rPr>
                <w:rFonts w:ascii="Arial" w:cs="Arial" w:eastAsia="Arial" w:hAnsi="Arial"/>
                <w:sz w:val="18"/>
                <w:szCs w:val="18"/>
                <w:color w:val="auto"/>
                <w:w w:val="93"/>
              </w:rPr>
              <w:t>% if the underwriters exercise their option to purchase additional shares</w:t>
            </w:r>
          </w:p>
        </w:tc>
      </w:tr>
      <w:tr>
        <w:trPr>
          <w:trHeight w:val="230"/>
        </w:trPr>
        <w:tc>
          <w:tcPr>
            <w:tcW w:w="880" w:type="dxa"/>
            <w:vAlign w:val="bottom"/>
          </w:tcPr>
          <w:p>
            <w:pPr>
              <w:spacing w:after="0"/>
              <w:rPr>
                <w:sz w:val="20"/>
                <w:szCs w:val="20"/>
                <w:color w:val="auto"/>
              </w:rPr>
            </w:pPr>
          </w:p>
        </w:tc>
        <w:tc>
          <w:tcPr>
            <w:tcW w:w="2840" w:type="dxa"/>
            <w:vAlign w:val="bottom"/>
            <w:gridSpan w:val="3"/>
          </w:tcPr>
          <w:p>
            <w:pPr>
              <w:ind w:left="240"/>
              <w:spacing w:after="0"/>
              <w:rPr>
                <w:sz w:val="20"/>
                <w:szCs w:val="20"/>
                <w:color w:val="auto"/>
              </w:rPr>
            </w:pPr>
            <w:r>
              <w:rPr>
                <w:rFonts w:ascii="Arial" w:cs="Arial" w:eastAsia="Arial" w:hAnsi="Arial"/>
                <w:sz w:val="18"/>
                <w:szCs w:val="18"/>
                <w:color w:val="auto"/>
                <w:w w:val="98"/>
              </w:rPr>
              <w:t>of Class A common stock in full).</w:t>
            </w: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3"/>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280" w:type="dxa"/>
            <w:vAlign w:val="bottom"/>
            <w:gridSpan w:val="4"/>
          </w:tcPr>
          <w:p>
            <w:pPr>
              <w:ind w:left="240"/>
              <w:spacing w:after="0"/>
              <w:rPr>
                <w:sz w:val="20"/>
                <w:szCs w:val="20"/>
                <w:color w:val="auto"/>
              </w:rPr>
            </w:pPr>
            <w:r>
              <w:rPr>
                <w:rFonts w:ascii="Arial" w:cs="Arial" w:eastAsia="Arial" w:hAnsi="Arial"/>
                <w:sz w:val="18"/>
                <w:szCs w:val="18"/>
                <w:color w:val="auto"/>
              </w:rPr>
              <w:t>Investors in this offering will collectively hold (i)</w:t>
            </w:r>
          </w:p>
        </w:tc>
        <w:tc>
          <w:tcPr>
            <w:tcW w:w="4100" w:type="dxa"/>
            <w:vAlign w:val="bottom"/>
            <w:gridSpan w:val="3"/>
          </w:tcPr>
          <w:p>
            <w:pPr>
              <w:ind w:left="220"/>
              <w:spacing w:after="0"/>
              <w:rPr>
                <w:sz w:val="20"/>
                <w:szCs w:val="20"/>
                <w:color w:val="auto"/>
              </w:rPr>
            </w:pPr>
            <w:r>
              <w:rPr>
                <w:rFonts w:ascii="Arial" w:cs="Arial" w:eastAsia="Arial" w:hAnsi="Arial"/>
                <w:sz w:val="18"/>
                <w:szCs w:val="18"/>
                <w:color w:val="auto"/>
                <w:w w:val="95"/>
              </w:rPr>
              <w:t>shares of our Class A common stock, representing</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approximately</w:t>
            </w:r>
          </w:p>
        </w:tc>
        <w:tc>
          <w:tcPr>
            <w:tcW w:w="5100" w:type="dxa"/>
            <w:vAlign w:val="bottom"/>
            <w:gridSpan w:val="4"/>
          </w:tcPr>
          <w:p>
            <w:pPr>
              <w:jc w:val="center"/>
              <w:spacing w:after="0"/>
              <w:rPr>
                <w:sz w:val="20"/>
                <w:szCs w:val="20"/>
                <w:color w:val="auto"/>
              </w:rPr>
            </w:pPr>
            <w:r>
              <w:rPr>
                <w:rFonts w:ascii="Arial" w:cs="Arial" w:eastAsia="Arial" w:hAnsi="Arial"/>
                <w:sz w:val="18"/>
                <w:szCs w:val="18"/>
                <w:color w:val="auto"/>
                <w:w w:val="92"/>
              </w:rPr>
              <w:t>% of the combined voting power of our common stock (or</w:t>
            </w:r>
          </w:p>
        </w:tc>
        <w:tc>
          <w:tcPr>
            <w:tcW w:w="1740" w:type="dxa"/>
            <w:vAlign w:val="bottom"/>
          </w:tcPr>
          <w:p>
            <w:pPr>
              <w:ind w:left="260"/>
              <w:spacing w:after="0"/>
              <w:rPr>
                <w:sz w:val="20"/>
                <w:szCs w:val="20"/>
                <w:color w:val="auto"/>
              </w:rPr>
            </w:pPr>
            <w:r>
              <w:rPr>
                <w:rFonts w:ascii="Arial" w:cs="Arial" w:eastAsia="Arial" w:hAnsi="Arial"/>
                <w:sz w:val="18"/>
                <w:szCs w:val="18"/>
                <w:color w:val="auto"/>
              </w:rPr>
              <w:t>shares and</w:t>
            </w:r>
          </w:p>
        </w:tc>
        <w:tc>
          <w:tcPr>
            <w:tcW w:w="1760" w:type="dxa"/>
            <w:vAlign w:val="bottom"/>
            <w:gridSpan w:val="2"/>
          </w:tcPr>
          <w:p>
            <w:pPr>
              <w:spacing w:after="0"/>
              <w:rPr>
                <w:sz w:val="20"/>
                <w:szCs w:val="20"/>
                <w:color w:val="auto"/>
              </w:rPr>
            </w:pPr>
            <w:r>
              <w:rPr>
                <w:rFonts w:ascii="Arial" w:cs="Arial" w:eastAsia="Arial" w:hAnsi="Arial"/>
                <w:sz w:val="18"/>
                <w:szCs w:val="18"/>
                <w:color w:val="auto"/>
              </w:rPr>
              <w:t>%, respectively, if</w:t>
            </w:r>
          </w:p>
        </w:tc>
      </w:tr>
      <w:tr>
        <w:trPr>
          <w:trHeight w:val="216"/>
        </w:trPr>
        <w:tc>
          <w:tcPr>
            <w:tcW w:w="880" w:type="dxa"/>
            <w:vAlign w:val="bottom"/>
          </w:tcPr>
          <w:p>
            <w:pPr>
              <w:spacing w:after="0"/>
              <w:rPr>
                <w:sz w:val="18"/>
                <w:szCs w:val="18"/>
                <w:color w:val="auto"/>
              </w:rPr>
            </w:pPr>
          </w:p>
        </w:tc>
        <w:tc>
          <w:tcPr>
            <w:tcW w:w="10140" w:type="dxa"/>
            <w:vAlign w:val="bottom"/>
            <w:gridSpan w:val="9"/>
          </w:tcPr>
          <w:p>
            <w:pPr>
              <w:ind w:left="240"/>
              <w:spacing w:after="0"/>
              <w:rPr>
                <w:sz w:val="20"/>
                <w:szCs w:val="20"/>
                <w:color w:val="auto"/>
              </w:rPr>
            </w:pPr>
            <w:r>
              <w:rPr>
                <w:rFonts w:ascii="Arial" w:cs="Arial" w:eastAsia="Arial" w:hAnsi="Arial"/>
                <w:sz w:val="18"/>
                <w:szCs w:val="18"/>
                <w:color w:val="auto"/>
                <w:w w:val="95"/>
              </w:rPr>
              <w:t>the underwriters exercise their option to purchase additional shares of Class A common stock in full) and (ii) through our direct and</w:t>
            </w:r>
          </w:p>
        </w:tc>
      </w:tr>
      <w:tr>
        <w:trPr>
          <w:trHeight w:val="216"/>
        </w:trPr>
        <w:tc>
          <w:tcPr>
            <w:tcW w:w="880" w:type="dxa"/>
            <w:vAlign w:val="bottom"/>
          </w:tcPr>
          <w:p>
            <w:pPr>
              <w:spacing w:after="0"/>
              <w:rPr>
                <w:sz w:val="18"/>
                <w:szCs w:val="18"/>
                <w:color w:val="auto"/>
              </w:rPr>
            </w:pPr>
          </w:p>
        </w:tc>
        <w:tc>
          <w:tcPr>
            <w:tcW w:w="5240" w:type="dxa"/>
            <w:vAlign w:val="bottom"/>
            <w:gridSpan w:val="5"/>
          </w:tcPr>
          <w:p>
            <w:pPr>
              <w:ind w:left="240"/>
              <w:spacing w:after="0"/>
              <w:rPr>
                <w:sz w:val="20"/>
                <w:szCs w:val="20"/>
                <w:color w:val="auto"/>
              </w:rPr>
            </w:pPr>
            <w:r>
              <w:rPr>
                <w:rFonts w:ascii="Arial" w:cs="Arial" w:eastAsia="Arial" w:hAnsi="Arial"/>
                <w:sz w:val="18"/>
                <w:szCs w:val="18"/>
                <w:color w:val="auto"/>
                <w:w w:val="96"/>
              </w:rPr>
              <w:t>indirect ownership of LLC Units, indirectly will hold approximately</w:t>
            </w:r>
          </w:p>
        </w:tc>
        <w:tc>
          <w:tcPr>
            <w:tcW w:w="4900" w:type="dxa"/>
            <w:vAlign w:val="bottom"/>
            <w:gridSpan w:val="4"/>
          </w:tcPr>
          <w:p>
            <w:pPr>
              <w:ind w:left="620"/>
              <w:spacing w:after="0"/>
              <w:rPr>
                <w:sz w:val="20"/>
                <w:szCs w:val="20"/>
                <w:color w:val="auto"/>
              </w:rPr>
            </w:pPr>
            <w:r>
              <w:rPr>
                <w:rFonts w:ascii="Arial" w:cs="Arial" w:eastAsia="Arial" w:hAnsi="Arial"/>
                <w:sz w:val="18"/>
                <w:szCs w:val="18"/>
                <w:color w:val="auto"/>
              </w:rPr>
              <w:t>% of the economic interest in Definitive OpCo</w:t>
            </w:r>
          </w:p>
        </w:tc>
      </w:tr>
      <w:tr>
        <w:trPr>
          <w:trHeight w:val="230"/>
        </w:trPr>
        <w:tc>
          <w:tcPr>
            <w:tcW w:w="88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(or</w:t>
            </w:r>
          </w:p>
        </w:tc>
        <w:tc>
          <w:tcPr>
            <w:tcW w:w="7840" w:type="dxa"/>
            <w:vAlign w:val="bottom"/>
            <w:gridSpan w:val="7"/>
          </w:tcPr>
          <w:p>
            <w:pPr>
              <w:ind w:left="40"/>
              <w:spacing w:after="0"/>
              <w:rPr>
                <w:sz w:val="20"/>
                <w:szCs w:val="20"/>
                <w:color w:val="auto"/>
              </w:rPr>
            </w:pPr>
            <w:r>
              <w:rPr>
                <w:rFonts w:ascii="Arial" w:cs="Arial" w:eastAsia="Arial" w:hAnsi="Arial"/>
                <w:sz w:val="18"/>
                <w:szCs w:val="18"/>
                <w:color w:val="auto"/>
                <w:w w:val="93"/>
              </w:rPr>
              <w:t>% if the underwriters exercise their option to purchase additional shares of Class A common stock in full).</w:t>
            </w:r>
          </w:p>
        </w:tc>
        <w:tc>
          <w:tcPr>
            <w:tcW w:w="1180" w:type="dxa"/>
            <w:vAlign w:val="bottom"/>
          </w:tcPr>
          <w:p>
            <w:pPr>
              <w:spacing w:after="0"/>
              <w:rPr>
                <w:sz w:val="20"/>
                <w:szCs w:val="20"/>
                <w:color w:val="auto"/>
              </w:rPr>
            </w:pPr>
          </w:p>
        </w:tc>
      </w:tr>
      <w:tr>
        <w:trPr>
          <w:trHeight w:val="240"/>
        </w:trPr>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361"/>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60" w:firstLine="426"/>
        <w:spacing w:after="0" w:line="277" w:lineRule="auto"/>
        <w:rPr>
          <w:sz w:val="20"/>
          <w:szCs w:val="20"/>
          <w:color w:val="auto"/>
        </w:rPr>
      </w:pPr>
      <w:r>
        <w:rPr>
          <w:rFonts w:ascii="Arial" w:cs="Arial" w:eastAsia="Arial" w:hAnsi="Arial"/>
          <w:sz w:val="18"/>
          <w:szCs w:val="18"/>
          <w:color w:val="auto"/>
        </w:rPr>
        <w:t>See “Organizational Structure,” “Certain Relationships and Related Party Transactions” and “Description of Capital Stock” for more information on the rights associated with our common stock and the LLC Units.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Sponsors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Advent</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Advent is one of the largest and most experienced global private equity investors. The firm has invested in over 370 private equity transactions in 41 countries, and as of December 31, 2020, had $76 billion in assets under management. With 15 offices in 12 countries, Advent has established a globally integrated team of 240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 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Spectrum Equity</w:t>
      </w:r>
    </w:p>
    <w:p>
      <w:pPr>
        <w:spacing w:after="0" w:line="117" w:lineRule="exact"/>
        <w:rPr>
          <w:sz w:val="20"/>
          <w:szCs w:val="20"/>
          <w:color w:val="auto"/>
        </w:rPr>
      </w:pPr>
    </w:p>
    <w:p>
      <w:pPr>
        <w:jc w:val="both"/>
        <w:ind w:left="300" w:right="200" w:firstLine="426"/>
        <w:spacing w:after="0" w:line="263" w:lineRule="auto"/>
        <w:rPr>
          <w:sz w:val="20"/>
          <w:szCs w:val="20"/>
          <w:color w:val="auto"/>
        </w:rPr>
      </w:pPr>
      <w:r>
        <w:rPr>
          <w:rFonts w:ascii="Arial" w:cs="Arial" w:eastAsia="Arial" w:hAnsi="Arial"/>
          <w:sz w:val="18"/>
          <w:szCs w:val="18"/>
          <w:color w:val="auto"/>
        </w:rPr>
        <w:t>Founded in 1994 with offices in Boston and San Francisco, Spectrum Equity is a leading growth equity firm providing capital and strategic support to innovative Internet, software and information service companies. As of March 31, 2021, the firm has invested in over 160 companies and is currently investing its ninth fund with $1.5 billion in limited partner commitments.</w:t>
      </w:r>
    </w:p>
    <w:p>
      <w:pPr>
        <w:spacing w:after="0" w:line="184"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22C Capital</w:t>
      </w:r>
    </w:p>
    <w:p>
      <w:pPr>
        <w:spacing w:after="0" w:line="117" w:lineRule="exact"/>
        <w:rPr>
          <w:sz w:val="20"/>
          <w:szCs w:val="20"/>
          <w:color w:val="auto"/>
        </w:rPr>
      </w:pPr>
    </w:p>
    <w:p>
      <w:pPr>
        <w:ind w:left="300" w:right="180" w:firstLine="426"/>
        <w:spacing w:after="0" w:line="293" w:lineRule="auto"/>
        <w:rPr>
          <w:sz w:val="20"/>
          <w:szCs w:val="20"/>
          <w:color w:val="auto"/>
        </w:rPr>
      </w:pPr>
      <w:r>
        <w:rPr>
          <w:rFonts w:ascii="Arial" w:cs="Arial" w:eastAsia="Arial" w:hAnsi="Arial"/>
          <w:sz w:val="16"/>
          <w:szCs w:val="16"/>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Definitive Healthcare Corp. was incorporated in Delaware on May 5, 2021. Our principal executive offices are located at 550 Cochituate Rd, Framingham, Massachusetts 01701, and our telephone number is (508) 720-4224.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360" w:firstLine="426"/>
        <w:spacing w:after="0" w:line="259"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2" w:lineRule="exact"/>
        <w:rPr>
          <w:sz w:val="20"/>
          <w:szCs w:val="20"/>
          <w:color w:val="auto"/>
        </w:rPr>
      </w:pPr>
    </w:p>
    <w:p>
      <w:pPr>
        <w:ind w:left="1240" w:right="320" w:hanging="523"/>
        <w:spacing w:after="0" w:line="277"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1240" w:right="420" w:hanging="523"/>
        <w:spacing w:after="0" w:line="277"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 pursuant to the Sarbanes-Oxley Act of 2002, as amended (the “Sarbanes-Oxley Act”);</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exemption from the adoption of new or revised financial accounting standards until they would apply to private companies;</w:t>
      </w:r>
    </w:p>
    <w:p>
      <w:pPr>
        <w:spacing w:after="0" w:line="142" w:lineRule="exact"/>
        <w:rPr>
          <w:rFonts w:ascii="Arial" w:cs="Arial" w:eastAsia="Arial" w:hAnsi="Arial"/>
          <w:sz w:val="17"/>
          <w:szCs w:val="17"/>
          <w:color w:val="auto"/>
        </w:rPr>
      </w:pPr>
    </w:p>
    <w:p>
      <w:pPr>
        <w:ind w:left="1240" w:right="340" w:hanging="523"/>
        <w:spacing w:after="0" w:line="263"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9" w:lineRule="exact"/>
        <w:rPr>
          <w:rFonts w:ascii="Arial" w:cs="Arial" w:eastAsia="Arial" w:hAnsi="Arial"/>
          <w:sz w:val="18"/>
          <w:szCs w:val="18"/>
          <w:color w:val="auto"/>
        </w:rPr>
      </w:pPr>
    </w:p>
    <w:p>
      <w:pPr>
        <w:ind w:left="1240" w:right="980" w:hanging="523"/>
        <w:spacing w:after="0" w:line="277"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We will remain an emerging growth company until the last day of the fiscal year following the fifth anniversary of the completion of our initial public offering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65"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 apply to private companies. An emerging growth company can also choose to “opt out” of that extended transition period and comply with new and revised accounting standards on the relevant dates on which adoption of those standards is required for non-emerging growth companies. Section 107 of the JOBS Act provides that a decision to opt out of the extended transition period for complying with new or revised accounting standards is irrevocable.</w:t>
      </w:r>
    </w:p>
    <w:p>
      <w:pPr>
        <w:spacing w:after="0" w:line="195"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440" w:type="dxa"/>
            <w:vAlign w:val="bottom"/>
            <w:gridSpan w:val="2"/>
          </w:tcPr>
          <w:p>
            <w:pPr>
              <w:ind w:left="60"/>
              <w:spacing w:after="0"/>
              <w:rPr>
                <w:sz w:val="20"/>
                <w:szCs w:val="20"/>
                <w:color w:val="auto"/>
              </w:rPr>
            </w:pPr>
            <w:r>
              <w:rPr>
                <w:rFonts w:ascii="Arial" w:cs="Arial" w:eastAsia="Arial" w:hAnsi="Arial"/>
                <w:sz w:val="18"/>
                <w:szCs w:val="18"/>
                <w:b w:val="1"/>
                <w:bCs w:val="1"/>
                <w:color w:val="auto"/>
              </w:rPr>
              <w:t>THE OFFERING</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4580" w:type="dxa"/>
            <w:vAlign w:val="bottom"/>
          </w:tcPr>
          <w:p>
            <w:pPr>
              <w:spacing w:after="0"/>
              <w:rPr>
                <w:sz w:val="20"/>
                <w:szCs w:val="20"/>
                <w:color w:val="auto"/>
              </w:rPr>
            </w:pPr>
            <w:r>
              <w:rPr>
                <w:rFonts w:ascii="Arial" w:cs="Arial" w:eastAsia="Arial" w:hAnsi="Arial"/>
                <w:sz w:val="18"/>
                <w:szCs w:val="18"/>
                <w:color w:val="auto"/>
              </w:rPr>
              <w:t>Issuer</w:t>
            </w: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Definitive Healthcare Corp.</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Class A common stock offered by us</w:t>
            </w:r>
          </w:p>
        </w:tc>
        <w:tc>
          <w:tcPr>
            <w:tcW w:w="84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w w:val="95"/>
              </w:rPr>
              <w:t>shares of Class A common stock (</w:t>
            </w:r>
          </w:p>
        </w:tc>
        <w:tc>
          <w:tcPr>
            <w:tcW w:w="500" w:type="dxa"/>
            <w:vAlign w:val="bottom"/>
          </w:tcPr>
          <w:p>
            <w:pPr>
              <w:spacing w:after="0"/>
              <w:rPr>
                <w:sz w:val="24"/>
                <w:szCs w:val="24"/>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auto"/>
                <w:w w:val="95"/>
              </w:rPr>
              <w:t>shares if the underwriters</w:t>
            </w:r>
          </w:p>
        </w:tc>
      </w:tr>
      <w:tr>
        <w:trPr>
          <w:trHeight w:val="230"/>
        </w:trPr>
        <w:tc>
          <w:tcPr>
            <w:tcW w:w="4580" w:type="dxa"/>
            <w:vAlign w:val="bottom"/>
          </w:tcPr>
          <w:p>
            <w:pPr>
              <w:spacing w:after="0"/>
              <w:rPr>
                <w:sz w:val="20"/>
                <w:szCs w:val="20"/>
                <w:color w:val="auto"/>
              </w:rPr>
            </w:pPr>
          </w:p>
        </w:tc>
        <w:tc>
          <w:tcPr>
            <w:tcW w:w="4360" w:type="dxa"/>
            <w:vAlign w:val="bottom"/>
            <w:gridSpan w:val="5"/>
          </w:tcPr>
          <w:p>
            <w:pPr>
              <w:ind w:left="140"/>
              <w:spacing w:after="0"/>
              <w:rPr>
                <w:sz w:val="20"/>
                <w:szCs w:val="20"/>
                <w:color w:val="auto"/>
              </w:rPr>
            </w:pPr>
            <w:r>
              <w:rPr>
                <w:rFonts w:ascii="Arial" w:cs="Arial" w:eastAsia="Arial" w:hAnsi="Arial"/>
                <w:sz w:val="18"/>
                <w:szCs w:val="18"/>
                <w:color w:val="auto"/>
                <w:w w:val="91"/>
              </w:rPr>
              <w:t>exercise their option to purchase additional shares in full).</w:t>
            </w: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w w:val="90"/>
              </w:rPr>
              <w:t>Option to purchase additional shares of Class A common stock</w:t>
            </w:r>
          </w:p>
        </w:tc>
        <w:tc>
          <w:tcPr>
            <w:tcW w:w="4360" w:type="dxa"/>
            <w:vAlign w:val="bottom"/>
            <w:gridSpan w:val="5"/>
          </w:tcPr>
          <w:p>
            <w:pPr>
              <w:ind w:left="140"/>
              <w:spacing w:after="0"/>
              <w:rPr>
                <w:sz w:val="20"/>
                <w:szCs w:val="20"/>
                <w:color w:val="auto"/>
              </w:rPr>
            </w:pPr>
            <w:r>
              <w:rPr>
                <w:rFonts w:ascii="Arial" w:cs="Arial" w:eastAsia="Arial" w:hAnsi="Arial"/>
                <w:sz w:val="18"/>
                <w:szCs w:val="18"/>
                <w:color w:val="auto"/>
                <w:w w:val="90"/>
              </w:rPr>
              <w:t>The underwriters have an option to purchase an additional</w:t>
            </w:r>
          </w:p>
        </w:tc>
        <w:tc>
          <w:tcPr>
            <w:tcW w:w="1660" w:type="dxa"/>
            <w:vAlign w:val="bottom"/>
          </w:tcPr>
          <w:p>
            <w:pPr>
              <w:ind w:left="720"/>
              <w:spacing w:after="0"/>
              <w:rPr>
                <w:sz w:val="20"/>
                <w:szCs w:val="20"/>
                <w:color w:val="auto"/>
              </w:rPr>
            </w:pPr>
            <w:r>
              <w:rPr>
                <w:rFonts w:ascii="Arial" w:cs="Arial" w:eastAsia="Arial" w:hAnsi="Arial"/>
                <w:sz w:val="18"/>
                <w:szCs w:val="18"/>
                <w:color w:val="auto"/>
              </w:rPr>
              <w:t>shares of</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1"/>
              </w:rPr>
              <w:t>Class A common stock from us. The underwriters can exercise this option at any</w:t>
            </w:r>
          </w:p>
        </w:tc>
      </w:tr>
      <w:tr>
        <w:trPr>
          <w:trHeight w:val="230"/>
        </w:trPr>
        <w:tc>
          <w:tcPr>
            <w:tcW w:w="4580" w:type="dxa"/>
            <w:vAlign w:val="bottom"/>
          </w:tcPr>
          <w:p>
            <w:pPr>
              <w:spacing w:after="0"/>
              <w:rPr>
                <w:sz w:val="20"/>
                <w:szCs w:val="20"/>
                <w:color w:val="auto"/>
              </w:rPr>
            </w:pPr>
          </w:p>
        </w:tc>
        <w:tc>
          <w:tcPr>
            <w:tcW w:w="4000" w:type="dxa"/>
            <w:vAlign w:val="bottom"/>
            <w:gridSpan w:val="4"/>
          </w:tcPr>
          <w:p>
            <w:pPr>
              <w:ind w:left="140"/>
              <w:spacing w:after="0"/>
              <w:rPr>
                <w:sz w:val="20"/>
                <w:szCs w:val="20"/>
                <w:color w:val="auto"/>
              </w:rPr>
            </w:pPr>
            <w:r>
              <w:rPr>
                <w:rFonts w:ascii="Arial" w:cs="Arial" w:eastAsia="Arial" w:hAnsi="Arial"/>
                <w:sz w:val="18"/>
                <w:szCs w:val="18"/>
                <w:color w:val="auto"/>
                <w:w w:val="92"/>
              </w:rPr>
              <w:t>time within 30 days from the date of this prospectus.</w:t>
            </w: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w w:val="98"/>
              </w:rPr>
              <w:t>Class A common stock to be outstanding after this offering</w:t>
            </w:r>
          </w:p>
        </w:tc>
        <w:tc>
          <w:tcPr>
            <w:tcW w:w="84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w w:val="95"/>
              </w:rPr>
              <w:t>shares of Class A common stock (</w:t>
            </w:r>
          </w:p>
        </w:tc>
        <w:tc>
          <w:tcPr>
            <w:tcW w:w="500" w:type="dxa"/>
            <w:vAlign w:val="bottom"/>
          </w:tcPr>
          <w:p>
            <w:pPr>
              <w:spacing w:after="0"/>
              <w:rPr>
                <w:sz w:val="24"/>
                <w:szCs w:val="24"/>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auto"/>
                <w:w w:val="95"/>
              </w:rPr>
              <w:t>shares if the underwriters</w:t>
            </w:r>
          </w:p>
        </w:tc>
      </w:tr>
      <w:tr>
        <w:trPr>
          <w:trHeight w:val="230"/>
        </w:trPr>
        <w:tc>
          <w:tcPr>
            <w:tcW w:w="4580" w:type="dxa"/>
            <w:vAlign w:val="bottom"/>
          </w:tcPr>
          <w:p>
            <w:pPr>
              <w:spacing w:after="0"/>
              <w:rPr>
                <w:sz w:val="20"/>
                <w:szCs w:val="20"/>
                <w:color w:val="auto"/>
              </w:rPr>
            </w:pPr>
          </w:p>
        </w:tc>
        <w:tc>
          <w:tcPr>
            <w:tcW w:w="4360" w:type="dxa"/>
            <w:vAlign w:val="bottom"/>
            <w:gridSpan w:val="5"/>
          </w:tcPr>
          <w:p>
            <w:pPr>
              <w:ind w:left="140"/>
              <w:spacing w:after="0"/>
              <w:rPr>
                <w:sz w:val="20"/>
                <w:szCs w:val="20"/>
                <w:color w:val="auto"/>
              </w:rPr>
            </w:pPr>
            <w:r>
              <w:rPr>
                <w:rFonts w:ascii="Arial" w:cs="Arial" w:eastAsia="Arial" w:hAnsi="Arial"/>
                <w:sz w:val="18"/>
                <w:szCs w:val="18"/>
                <w:color w:val="auto"/>
                <w:w w:val="91"/>
              </w:rPr>
              <w:t>exercise their option to purchase additional shares in full).</w:t>
            </w: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w w:val="98"/>
              </w:rPr>
              <w:t>Class B common stock to be outstanding after this offering</w:t>
            </w:r>
          </w:p>
        </w:tc>
        <w:tc>
          <w:tcPr>
            <w:tcW w:w="840" w:type="dxa"/>
            <w:vAlign w:val="bottom"/>
          </w:tcPr>
          <w:p>
            <w:pPr>
              <w:spacing w:after="0"/>
              <w:rPr>
                <w:sz w:val="24"/>
                <w:szCs w:val="24"/>
                <w:color w:val="auto"/>
              </w:rPr>
            </w:pP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w w:val="89"/>
              </w:rPr>
              <w:t>shares of Class B common stock (</w:t>
            </w:r>
          </w:p>
        </w:tc>
        <w:tc>
          <w:tcPr>
            <w:tcW w:w="50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shares if the</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8"/>
              </w:rPr>
              <w:t>underwriters exercise their option to purchase additional shares of Class A</w:t>
            </w:r>
          </w:p>
        </w:tc>
      </w:tr>
      <w:tr>
        <w:trPr>
          <w:trHeight w:val="230"/>
        </w:trPr>
        <w:tc>
          <w:tcPr>
            <w:tcW w:w="458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common stock in full).</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LLC Units to be held by us after this offering</w:t>
            </w:r>
          </w:p>
        </w:tc>
        <w:tc>
          <w:tcPr>
            <w:tcW w:w="84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LLC Units, representing a</w:t>
            </w:r>
          </w:p>
        </w:tc>
        <w:tc>
          <w:tcPr>
            <w:tcW w:w="2520" w:type="dxa"/>
            <w:vAlign w:val="bottom"/>
            <w:gridSpan w:val="3"/>
          </w:tcPr>
          <w:p>
            <w:pPr>
              <w:spacing w:after="0"/>
              <w:rPr>
                <w:sz w:val="20"/>
                <w:szCs w:val="20"/>
                <w:color w:val="auto"/>
              </w:rPr>
            </w:pPr>
            <w:r>
              <w:rPr>
                <w:rFonts w:ascii="Arial" w:cs="Arial" w:eastAsia="Arial" w:hAnsi="Arial"/>
                <w:sz w:val="18"/>
                <w:szCs w:val="18"/>
                <w:color w:val="auto"/>
                <w:w w:val="96"/>
              </w:rPr>
              <w:t>% economic interest in Definitive</w:t>
            </w:r>
          </w:p>
        </w:tc>
      </w:tr>
      <w:tr>
        <w:trPr>
          <w:trHeight w:val="216"/>
        </w:trPr>
        <w:tc>
          <w:tcPr>
            <w:tcW w:w="458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w w:val="91"/>
              </w:rPr>
              <w:t>OpCo (or</w:t>
            </w:r>
          </w:p>
        </w:tc>
        <w:tc>
          <w:tcPr>
            <w:tcW w:w="2660" w:type="dxa"/>
            <w:vAlign w:val="bottom"/>
            <w:gridSpan w:val="2"/>
          </w:tcPr>
          <w:p>
            <w:pPr>
              <w:ind w:left="740"/>
              <w:spacing w:after="0"/>
              <w:rPr>
                <w:sz w:val="20"/>
                <w:szCs w:val="20"/>
                <w:color w:val="auto"/>
              </w:rPr>
            </w:pPr>
            <w:r>
              <w:rPr>
                <w:rFonts w:ascii="Arial" w:cs="Arial" w:eastAsia="Arial" w:hAnsi="Arial"/>
                <w:sz w:val="18"/>
                <w:szCs w:val="18"/>
                <w:color w:val="auto"/>
                <w:w w:val="93"/>
              </w:rPr>
              <w:t>LLC Units, representing a</w:t>
            </w:r>
          </w:p>
        </w:tc>
        <w:tc>
          <w:tcPr>
            <w:tcW w:w="500" w:type="dxa"/>
            <w:vAlign w:val="bottom"/>
          </w:tcPr>
          <w:p>
            <w:pPr>
              <w:spacing w:after="0"/>
              <w:rPr>
                <w:sz w:val="18"/>
                <w:szCs w:val="18"/>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w w:val="98"/>
              </w:rPr>
              <w:t>% economic interest in</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3"/>
              </w:rPr>
              <w:t>Definitive OpCo, if the underwriters exercise their option to purchase additional</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1"/>
              </w:rPr>
              <w:t>shares of Class A common stock in full). The LLC Units are not entitled to voting</w:t>
            </w:r>
          </w:p>
        </w:tc>
      </w:tr>
      <w:tr>
        <w:trPr>
          <w:trHeight w:val="230"/>
        </w:trPr>
        <w:tc>
          <w:tcPr>
            <w:tcW w:w="458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interests in Definitive OpCo.</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Total LLC Units to be outstanding after this offering</w:t>
            </w:r>
          </w:p>
        </w:tc>
        <w:tc>
          <w:tcPr>
            <w:tcW w:w="84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LLC Units (or</w:t>
            </w:r>
          </w:p>
        </w:tc>
        <w:tc>
          <w:tcPr>
            <w:tcW w:w="3580" w:type="dxa"/>
            <w:vAlign w:val="bottom"/>
            <w:gridSpan w:val="4"/>
          </w:tcPr>
          <w:p>
            <w:pPr>
              <w:ind w:left="220"/>
              <w:spacing w:after="0"/>
              <w:rPr>
                <w:sz w:val="20"/>
                <w:szCs w:val="20"/>
                <w:color w:val="auto"/>
              </w:rPr>
            </w:pPr>
            <w:r>
              <w:rPr>
                <w:rFonts w:ascii="Arial" w:cs="Arial" w:eastAsia="Arial" w:hAnsi="Arial"/>
                <w:sz w:val="18"/>
                <w:szCs w:val="18"/>
                <w:color w:val="auto"/>
                <w:w w:val="98"/>
              </w:rPr>
              <w:t>LLC Units if the underwriters exercise their</w:t>
            </w:r>
          </w:p>
        </w:tc>
      </w:tr>
      <w:tr>
        <w:trPr>
          <w:trHeight w:val="230"/>
        </w:trPr>
        <w:tc>
          <w:tcPr>
            <w:tcW w:w="4580" w:type="dxa"/>
            <w:vAlign w:val="bottom"/>
          </w:tcPr>
          <w:p>
            <w:pPr>
              <w:spacing w:after="0"/>
              <w:rPr>
                <w:sz w:val="20"/>
                <w:szCs w:val="20"/>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rPr>
              <w:t>option to purchase additional shares of Class A common stock in full).</w:t>
            </w: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1"/>
              </w:rPr>
              <w:t>We estimate that the net proceeds from the sale of our Class A common stock in</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6"/>
              </w:rPr>
              <w:t>this offering, after deducting the underwriting discount and estimated offering</w:t>
            </w:r>
          </w:p>
        </w:tc>
      </w:tr>
      <w:tr>
        <w:trPr>
          <w:trHeight w:val="216"/>
        </w:trPr>
        <w:tc>
          <w:tcPr>
            <w:tcW w:w="4580" w:type="dxa"/>
            <w:vAlign w:val="bottom"/>
          </w:tcPr>
          <w:p>
            <w:pPr>
              <w:spacing w:after="0"/>
              <w:rPr>
                <w:sz w:val="18"/>
                <w:szCs w:val="18"/>
                <w:color w:val="auto"/>
              </w:rPr>
            </w:pPr>
          </w:p>
        </w:tc>
        <w:tc>
          <w:tcPr>
            <w:tcW w:w="4000" w:type="dxa"/>
            <w:vAlign w:val="bottom"/>
            <w:gridSpan w:val="4"/>
          </w:tcPr>
          <w:p>
            <w:pPr>
              <w:ind w:left="140"/>
              <w:spacing w:after="0"/>
              <w:rPr>
                <w:sz w:val="20"/>
                <w:szCs w:val="20"/>
                <w:color w:val="auto"/>
              </w:rPr>
            </w:pPr>
            <w:r>
              <w:rPr>
                <w:rFonts w:ascii="Arial" w:cs="Arial" w:eastAsia="Arial" w:hAnsi="Arial"/>
                <w:sz w:val="18"/>
                <w:szCs w:val="18"/>
                <w:color w:val="auto"/>
                <w:w w:val="99"/>
              </w:rPr>
              <w:t>expenses payable by us, will be approximately $</w:t>
            </w:r>
          </w:p>
        </w:tc>
        <w:tc>
          <w:tcPr>
            <w:tcW w:w="36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million</w:t>
            </w:r>
          </w:p>
        </w:tc>
      </w:tr>
      <w:tr>
        <w:trPr>
          <w:trHeight w:val="230"/>
        </w:trPr>
        <w:tc>
          <w:tcPr>
            <w:tcW w:w="458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rPr>
              <w:t>($</w:t>
            </w:r>
          </w:p>
        </w:tc>
        <w:tc>
          <w:tcPr>
            <w:tcW w:w="5180" w:type="dxa"/>
            <w:vAlign w:val="bottom"/>
            <w:gridSpan w:val="5"/>
          </w:tcPr>
          <w:p>
            <w:pPr>
              <w:ind w:left="220"/>
              <w:spacing w:after="0"/>
              <w:rPr>
                <w:sz w:val="20"/>
                <w:szCs w:val="20"/>
                <w:color w:val="auto"/>
              </w:rPr>
            </w:pPr>
            <w:r>
              <w:rPr>
                <w:rFonts w:ascii="Arial" w:cs="Arial" w:eastAsia="Arial" w:hAnsi="Arial"/>
                <w:sz w:val="18"/>
                <w:szCs w:val="18"/>
                <w:color w:val="auto"/>
              </w:rPr>
              <w:t>million if the underwriters exercise their option to purchase</w:t>
            </w:r>
          </w:p>
        </w:tc>
      </w:tr>
    </w:tbl>
    <w:p>
      <w:pPr>
        <w:ind w:left="5020"/>
        <w:spacing w:after="0"/>
        <w:rPr>
          <w:sz w:val="20"/>
          <w:szCs w:val="20"/>
          <w:color w:val="auto"/>
        </w:rPr>
      </w:pPr>
      <w:r>
        <w:rPr>
          <w:rFonts w:ascii="Arial" w:cs="Arial" w:eastAsia="Arial" w:hAnsi="Arial"/>
          <w:sz w:val="17"/>
          <w:szCs w:val="17"/>
          <w:color w:val="auto"/>
        </w:rPr>
        <w:t>additional shares in full) based on an assumed initial public offering price of</w:t>
      </w:r>
    </w:p>
    <w:p>
      <w:pPr>
        <w:spacing w:after="0" w:line="21" w:lineRule="exact"/>
        <w:rPr>
          <w:sz w:val="20"/>
          <w:szCs w:val="20"/>
          <w:color w:val="auto"/>
        </w:rPr>
      </w:pPr>
    </w:p>
    <w:p>
      <w:pPr>
        <w:ind w:left="5020" w:hanging="4"/>
        <w:spacing w:after="0" w:line="260" w:lineRule="auto"/>
        <w:tabs>
          <w:tab w:leader="none" w:pos="58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of this prospectus).</w:t>
      </w:r>
    </w:p>
    <w:p>
      <w:pPr>
        <w:spacing w:after="0" w:line="91" w:lineRule="exact"/>
        <w:rPr>
          <w:sz w:val="20"/>
          <w:szCs w:val="20"/>
          <w:color w:val="auto"/>
        </w:rPr>
      </w:pPr>
    </w:p>
    <w:p>
      <w:pPr>
        <w:ind w:left="5020" w:right="60"/>
        <w:spacing w:after="0" w:line="285" w:lineRule="auto"/>
        <w:rPr>
          <w:sz w:val="20"/>
          <w:szCs w:val="20"/>
          <w:color w:val="auto"/>
        </w:rPr>
      </w:pPr>
      <w:r>
        <w:rPr>
          <w:rFonts w:ascii="Arial" w:cs="Arial" w:eastAsia="Arial" w:hAnsi="Arial"/>
          <w:sz w:val="16"/>
          <w:szCs w:val="16"/>
          <w:color w:val="auto"/>
        </w:rPr>
        <w:t>We intend to use the net proceeds from this offering to purchase newly issued LLC Units from Definitive OpCo. The foregoing purchases of LLC Units will be at a price per unit equal to the public offering price per share of Class A common stock in this offering, less the underwriting discount. Definitive OpCo expects to use the proceeds it receives from this offering to (i) pay fees and expenses of</w:t>
      </w:r>
    </w:p>
    <w:p>
      <w:pPr>
        <w:spacing w:after="0" w:line="2" w:lineRule="exact"/>
        <w:rPr>
          <w:sz w:val="20"/>
          <w:szCs w:val="20"/>
          <w:color w:val="auto"/>
        </w:rPr>
      </w:pPr>
    </w:p>
    <w:p>
      <w:pPr>
        <w:ind w:left="5020" w:right="200"/>
        <w:spacing w:after="0" w:line="260" w:lineRule="auto"/>
        <w:rPr>
          <w:sz w:val="20"/>
          <w:szCs w:val="20"/>
          <w:color w:val="auto"/>
        </w:rPr>
      </w:pPr>
      <w:r>
        <w:rPr>
          <w:rFonts w:ascii="Arial" w:cs="Arial" w:eastAsia="Arial" w:hAnsi="Arial"/>
          <w:sz w:val="18"/>
          <w:szCs w:val="18"/>
          <w:color w:val="auto"/>
        </w:rPr>
        <w:t>approximately $ in connection with this offering and (ii) as otherwise set forth in “Use of Proceeds.”</w:t>
      </w: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3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6600" w:type="dxa"/>
            <w:vAlign w:val="bottom"/>
            <w:tcBorders>
              <w:top w:val="single" w:sz="8" w:color="auto"/>
            </w:tcBorders>
            <w:gridSpan w:val="3"/>
          </w:tcPr>
          <w:p>
            <w:pPr>
              <w:ind w:left="1180"/>
              <w:spacing w:after="0"/>
              <w:rPr>
                <w:sz w:val="20"/>
                <w:szCs w:val="20"/>
                <w:color w:val="auto"/>
              </w:rPr>
            </w:pPr>
            <w:r>
              <w:rPr>
                <w:rFonts w:ascii="Arial" w:cs="Arial" w:eastAsia="Arial" w:hAnsi="Arial"/>
                <w:sz w:val="18"/>
                <w:szCs w:val="18"/>
                <w:color w:val="auto"/>
              </w:rPr>
              <w:t>Definitive Healthcare Corp.</w:t>
            </w:r>
          </w:p>
        </w:tc>
        <w:tc>
          <w:tcPr>
            <w:tcW w:w="1040" w:type="dxa"/>
            <w:vAlign w:val="bottom"/>
            <w:tcBorders>
              <w:top w:val="single" w:sz="8" w:color="auto"/>
              <w:right w:val="single" w:sz="8" w:color="auto"/>
            </w:tcBorders>
          </w:tcPr>
          <w:p>
            <w:pPr>
              <w:spacing w:after="0"/>
              <w:rPr>
                <w:sz w:val="24"/>
                <w:szCs w:val="24"/>
                <w:color w:val="auto"/>
              </w:rPr>
            </w:pPr>
          </w:p>
        </w:tc>
      </w:tr>
      <w:tr>
        <w:trPr>
          <w:trHeight w:val="418"/>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Receivable Agreements</w:t>
            </w: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Upon the completion of this offering, we will be a party to the Tax Receivable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Agreements with the TRA Parties (as defined herein). Under the Tax Receivable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Agreements, we generally will be required to pay to the TRA Parties 85% of the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9"/>
              </w:rPr>
              <w:t>amount of cash savings, if any, in U.S. federal, state and local income tax that we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actually realize (or in some circumstances are deemed to realize) as a result of</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6"/>
              </w:rPr>
              <w:t>(i) certain favorable tax attributes we will acquire from the Blocker Companies in the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2"/>
              </w:rPr>
              <w:t>Mergers (as defined herein, including net operating losses and the unamortized portion</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2"/>
              </w:rPr>
              <w:t>of the increase in tax basis in the tangible and intangible assets of Definitive OpCo and</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its subsidiaries resulting from the prior acquisitions of interests in Definitive OpCo by</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the Blocker Companies), (ii) tax basis adjustments resulting from future redemptions</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or exchanges of LLC Units by Continuing Pre-IPO LLC Members for cash or Class A</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3"/>
              </w:rPr>
              <w:t>common stock and (iii) certain payments made under the Tax Receivable Agreements.</w:t>
            </w:r>
          </w:p>
        </w:tc>
      </w:tr>
      <w:tr>
        <w:trPr>
          <w:trHeight w:val="216"/>
        </w:trPr>
        <w:tc>
          <w:tcPr>
            <w:tcW w:w="3380" w:type="dxa"/>
            <w:vAlign w:val="bottom"/>
            <w:tcBorders>
              <w:left w:val="single" w:sz="8" w:color="auto"/>
            </w:tcBorders>
          </w:tcPr>
          <w:p>
            <w:pPr>
              <w:spacing w:after="0"/>
              <w:rPr>
                <w:sz w:val="18"/>
                <w:szCs w:val="18"/>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w w:val="93"/>
              </w:rPr>
              <w:t>We will retain the benefit of the remaining 15% of these tax savings. See</w:t>
            </w:r>
          </w:p>
        </w:tc>
        <w:tc>
          <w:tcPr>
            <w:tcW w:w="1040" w:type="dxa"/>
            <w:vAlign w:val="bottom"/>
            <w:tcBorders>
              <w:right w:val="single" w:sz="8" w:color="auto"/>
            </w:tcBorders>
          </w:tcPr>
          <w:p>
            <w:pPr>
              <w:spacing w:after="0"/>
              <w:rPr>
                <w:sz w:val="18"/>
                <w:szCs w:val="18"/>
                <w:color w:val="auto"/>
              </w:rPr>
            </w:pP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“Organizational Structure—Holding Company Structure and the Tax Receivable</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Agreements.”</w:t>
            </w:r>
          </w:p>
        </w:tc>
        <w:tc>
          <w:tcPr>
            <w:tcW w:w="1040" w:type="dxa"/>
            <w:vAlign w:val="bottom"/>
            <w:tcBorders>
              <w:right w:val="single" w:sz="8" w:color="auto"/>
            </w:tcBorders>
          </w:tcPr>
          <w:p>
            <w:pPr>
              <w:spacing w:after="0"/>
              <w:rPr>
                <w:sz w:val="20"/>
                <w:szCs w:val="20"/>
                <w:color w:val="auto"/>
              </w:rPr>
            </w:pPr>
          </w:p>
        </w:tc>
      </w:tr>
      <w:tr>
        <w:trPr>
          <w:trHeight w:val="418"/>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We do not anticipate paying any dividends on our Class A common stock or Class B</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common stock for the foreseeable future; however, we may change this policy in the</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future. See “Dividend Policy.”</w:t>
            </w:r>
          </w:p>
        </w:tc>
        <w:tc>
          <w:tcPr>
            <w:tcW w:w="1040" w:type="dxa"/>
            <w:vAlign w:val="bottom"/>
            <w:tcBorders>
              <w:right w:val="single" w:sz="8" w:color="auto"/>
            </w:tcBorders>
          </w:tcPr>
          <w:p>
            <w:pPr>
              <w:spacing w:after="0"/>
              <w:rPr>
                <w:sz w:val="20"/>
                <w:szCs w:val="20"/>
                <w:color w:val="auto"/>
              </w:rPr>
            </w:pPr>
          </w:p>
        </w:tc>
      </w:tr>
      <w:tr>
        <w:trPr>
          <w:trHeight w:val="418"/>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Rights</w:t>
            </w: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4"/>
              </w:rPr>
              <w:t>Each share of our Class A common stock entitles its holder to one vote on all matters</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to be voted on by stockholders generally.</w:t>
            </w:r>
          </w:p>
        </w:tc>
        <w:tc>
          <w:tcPr>
            <w:tcW w:w="1040" w:type="dxa"/>
            <w:vAlign w:val="bottom"/>
            <w:tcBorders>
              <w:right w:val="single" w:sz="8" w:color="auto"/>
            </w:tcBorders>
          </w:tcPr>
          <w:p>
            <w:pPr>
              <w:spacing w:after="0"/>
              <w:rPr>
                <w:sz w:val="20"/>
                <w:szCs w:val="20"/>
                <w:color w:val="auto"/>
              </w:rPr>
            </w:pPr>
          </w:p>
        </w:tc>
      </w:tr>
      <w:tr>
        <w:trPr>
          <w:trHeight w:val="323"/>
        </w:trPr>
        <w:tc>
          <w:tcPr>
            <w:tcW w:w="33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3"/>
              </w:rPr>
              <w:t>Each share of our Class B common stock entitles its holder to one vote for each share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of Class B common stock held of record on all matters on which stockholders of</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Definitive Healthcare Corp. are entitled to vote generally.</w:t>
            </w:r>
          </w:p>
        </w:tc>
        <w:tc>
          <w:tcPr>
            <w:tcW w:w="1040" w:type="dxa"/>
            <w:vAlign w:val="bottom"/>
            <w:tcBorders>
              <w:right w:val="single" w:sz="8" w:color="auto"/>
            </w:tcBorders>
          </w:tcPr>
          <w:p>
            <w:pPr>
              <w:spacing w:after="0"/>
              <w:rPr>
                <w:sz w:val="20"/>
                <w:szCs w:val="20"/>
                <w:color w:val="auto"/>
              </w:rPr>
            </w:pPr>
          </w:p>
        </w:tc>
      </w:tr>
      <w:tr>
        <w:trPr>
          <w:trHeight w:val="323"/>
        </w:trPr>
        <w:tc>
          <w:tcPr>
            <w:tcW w:w="33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8"/>
              </w:rPr>
              <w:t>Holders of outstanding shares of our Class A common stock and Class B common</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7"/>
              </w:rPr>
              <w:t>stock will vote as a single class on all matters on which stockholders are entitled to</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4"/>
              </w:rPr>
              <w:t>vote generally, except as otherwise required by law. See “Description of Capital Stock</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—Common Stock.”</w:t>
            </w:r>
          </w:p>
        </w:tc>
        <w:tc>
          <w:tcPr>
            <w:tcW w:w="1040" w:type="dxa"/>
            <w:vAlign w:val="bottom"/>
            <w:tcBorders>
              <w:right w:val="single" w:sz="8" w:color="auto"/>
            </w:tcBorders>
          </w:tcPr>
          <w:p>
            <w:pPr>
              <w:spacing w:after="0"/>
              <w:rPr>
                <w:sz w:val="20"/>
                <w:szCs w:val="20"/>
                <w:color w:val="auto"/>
              </w:rPr>
            </w:pPr>
          </w:p>
        </w:tc>
      </w:tr>
      <w:tr>
        <w:trPr>
          <w:trHeight w:val="431"/>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Investing in our Class A common stock involves a high degree of risk. See the</w:t>
            </w:r>
          </w:p>
        </w:tc>
      </w:tr>
      <w:tr>
        <w:trPr>
          <w:trHeight w:val="190"/>
        </w:trPr>
        <w:tc>
          <w:tcPr>
            <w:tcW w:w="338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gridSpan w:val="4"/>
          </w:tcPr>
          <w:p>
            <w:pPr>
              <w:ind w:left="1180"/>
              <w:spacing w:after="0" w:line="190" w:lineRule="exact"/>
              <w:rPr>
                <w:rFonts w:ascii="Arial" w:cs="Arial" w:eastAsia="Arial" w:hAnsi="Arial"/>
                <w:sz w:val="18"/>
                <w:szCs w:val="18"/>
                <w:color w:val="auto"/>
                <w:w w:val="99"/>
              </w:rPr>
            </w:pPr>
            <w:r>
              <w:rPr>
                <w:rFonts w:ascii="Arial" w:cs="Arial" w:eastAsia="Arial" w:hAnsi="Arial"/>
                <w:sz w:val="18"/>
                <w:szCs w:val="18"/>
                <w:color w:val="auto"/>
                <w:w w:val="99"/>
              </w:rPr>
              <w:t>“</w:t>
            </w:r>
            <w:hyperlink w:anchor="page29">
              <w:r>
                <w:rPr>
                  <w:rFonts w:ascii="Arial" w:cs="Arial" w:eastAsia="Arial" w:hAnsi="Arial"/>
                  <w:sz w:val="18"/>
                  <w:szCs w:val="18"/>
                  <w:color w:val="0000EE"/>
                  <w:w w:val="99"/>
                </w:rPr>
                <w:t>Risk Factors</w:t>
              </w:r>
            </w:hyperlink>
            <w:r>
              <w:rPr>
                <w:rFonts w:ascii="Arial" w:cs="Arial" w:eastAsia="Arial" w:hAnsi="Arial"/>
                <w:sz w:val="18"/>
                <w:szCs w:val="18"/>
                <w:color w:val="auto"/>
                <w:w w:val="99"/>
              </w:rPr>
              <w:t>” section of this prospectus beginning on page 22 for a discussion of</w:t>
            </w:r>
          </w:p>
        </w:tc>
      </w:tr>
      <w:tr>
        <w:trPr>
          <w:trHeight w:val="20"/>
        </w:trPr>
        <w:tc>
          <w:tcPr>
            <w:tcW w:w="3380" w:type="dxa"/>
            <w:vAlign w:val="bottom"/>
            <w:tcBorders>
              <w:lef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80" w:type="dxa"/>
            <w:vAlign w:val="bottom"/>
            <w:tcBorders>
              <w:right w:val="single" w:sz="8" w:color="auto"/>
            </w:tcBorders>
            <w:gridSpan w:val="2"/>
          </w:tcPr>
          <w:p>
            <w:pPr>
              <w:spacing w:after="0" w:line="20" w:lineRule="exact"/>
              <w:rPr>
                <w:sz w:val="1"/>
                <w:szCs w:val="1"/>
                <w:color w:val="auto"/>
              </w:rPr>
            </w:pPr>
          </w:p>
        </w:tc>
      </w:tr>
      <w:tr>
        <w:trPr>
          <w:trHeight w:val="237"/>
        </w:trPr>
        <w:tc>
          <w:tcPr>
            <w:tcW w:w="3380" w:type="dxa"/>
            <w:vAlign w:val="bottom"/>
            <w:tcBorders>
              <w:left w:val="single" w:sz="8" w:color="auto"/>
            </w:tcBorders>
          </w:tcPr>
          <w:p>
            <w:pPr>
              <w:spacing w:after="0"/>
              <w:rPr>
                <w:sz w:val="20"/>
                <w:szCs w:val="20"/>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6"/>
              </w:rPr>
              <w:t>factors you should carefully consider before investing in our Class A common stock.</w:t>
            </w:r>
          </w:p>
        </w:tc>
      </w:tr>
      <w:tr>
        <w:trPr>
          <w:trHeight w:val="418"/>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We intend to apply to have our Class A common stock listed on the</w:t>
            </w:r>
          </w:p>
        </w:tc>
        <w:tc>
          <w:tcPr>
            <w:tcW w:w="10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under</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the symbol “DH.”</w:t>
            </w:r>
          </w:p>
        </w:tc>
        <w:tc>
          <w:tcPr>
            <w:tcW w:w="1040" w:type="dxa"/>
            <w:vAlign w:val="bottom"/>
            <w:tcBorders>
              <w:right w:val="single" w:sz="8" w:color="auto"/>
            </w:tcBorders>
          </w:tcPr>
          <w:p>
            <w:pPr>
              <w:spacing w:after="0"/>
              <w:rPr>
                <w:sz w:val="20"/>
                <w:szCs w:val="20"/>
                <w:color w:val="auto"/>
              </w:rPr>
            </w:pPr>
          </w:p>
        </w:tc>
      </w:tr>
      <w:tr>
        <w:trPr>
          <w:trHeight w:val="240"/>
        </w:trPr>
        <w:tc>
          <w:tcPr>
            <w:tcW w:w="338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361"/>
        </w:trPr>
        <w:tc>
          <w:tcPr>
            <w:tcW w:w="3380" w:type="dxa"/>
            <w:vAlign w:val="bottom"/>
          </w:tcPr>
          <w:p>
            <w:pPr>
              <w:spacing w:after="0"/>
              <w:rPr>
                <w:sz w:val="24"/>
                <w:szCs w:val="24"/>
                <w:color w:val="auto"/>
              </w:rPr>
            </w:pPr>
          </w:p>
        </w:tc>
        <w:tc>
          <w:tcPr>
            <w:tcW w:w="6600" w:type="dxa"/>
            <w:vAlign w:val="bottom"/>
            <w:gridSpan w:val="3"/>
          </w:tcPr>
          <w:p>
            <w:pPr>
              <w:ind w:left="204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474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36474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Except as otherwise indicated, the number of shares of our Class A common stock outstanding after this offering:</w:t>
      </w:r>
    </w:p>
    <w:p>
      <w:pPr>
        <w:sectPr>
          <w:pgSz w:w="11900" w:h="16838" w:orient="portrait"/>
          <w:cols w:equalWidth="0" w:num="1">
            <w:col w:w="10900"/>
          </w:cols>
          <w:pgMar w:left="320" w:top="459" w:right="679" w:bottom="1440" w:gutter="0" w:footer="0" w:header="0"/>
        </w:sectPr>
      </w:pPr>
    </w:p>
    <w:p>
      <w:pPr>
        <w:spacing w:after="0" w:line="15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excludes shares of Class A common stock reserved for issuance upon redemption or exchange of LLC Units that will be held by the Continuing Pre-IPO LLC Members on a one-for-one basis;</w:t>
      </w:r>
    </w:p>
    <w:p>
      <w:pPr>
        <w:spacing w:after="0" w:line="76" w:lineRule="exact"/>
        <w:rPr>
          <w:sz w:val="20"/>
          <w:szCs w:val="20"/>
          <w:color w:val="auto"/>
        </w:rPr>
      </w:pPr>
    </w:p>
    <w:p>
      <w:pPr>
        <w:sectPr>
          <w:pgSz w:w="11900" w:h="16838" w:orient="portrait"/>
          <w:cols w:equalWidth="0" w:num="2">
            <w:col w:w="780" w:space="460"/>
            <w:col w:w="9660"/>
          </w:cols>
          <w:pgMar w:left="320" w:top="459" w:right="679" w:bottom="1440" w:gutter="0" w:footer="0" w:header="0"/>
          <w:type w:val="continuous"/>
        </w:sectPr>
      </w:pPr>
    </w:p>
    <w:p>
      <w:pPr>
        <w:ind w:left="1240" w:right="540" w:hanging="523"/>
        <w:spacing w:after="0" w:line="277" w:lineRule="auto"/>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gives effect to the conversion of unvested incentive units awarded under our 2019 Equity Incentive Plan (the “2019 Plan”) into Class A common stock, which will occur upon the consummation of this offering;</w:t>
      </w:r>
    </w:p>
    <w:p>
      <w:pPr>
        <w:sectPr>
          <w:pgSz w:w="11900" w:h="16838" w:orient="portrait"/>
          <w:cols w:equalWidth="0" w:num="1">
            <w:col w:w="10900"/>
          </w:cols>
          <w:pgMar w:left="320" w:top="459" w:right="679" w:bottom="1440" w:gutter="0" w:footer="0" w:header="0"/>
          <w:type w:val="continuous"/>
        </w:sectPr>
      </w:pPr>
    </w:p>
    <w:p>
      <w:pPr>
        <w:spacing w:after="0" w:line="7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excludes an aggregate of shares of our Class A common stock that will be available for future equity awards under our Definitive Healthcare Corp. 2021 Equity Incentive Plan (the “2021 Plan”) that we intend to adopt at the time of this offering; and</w:t>
      </w:r>
    </w:p>
    <w:p>
      <w:pPr>
        <w:spacing w:after="0" w:line="29" w:lineRule="exact"/>
        <w:rPr>
          <w:sz w:val="20"/>
          <w:szCs w:val="20"/>
          <w:color w:val="auto"/>
        </w:rPr>
      </w:pPr>
    </w:p>
    <w:p>
      <w:pPr>
        <w:sectPr>
          <w:pgSz w:w="11900" w:h="16838" w:orient="portrait"/>
          <w:cols w:equalWidth="0" w:num="2">
            <w:col w:w="780" w:space="460"/>
            <w:col w:w="9660"/>
          </w:cols>
          <w:pgMar w:left="320" w:top="459" w:right="679" w:bottom="1440" w:gutter="0" w:footer="0" w:header="0"/>
          <w:type w:val="continuous"/>
        </w:sectPr>
      </w:pPr>
    </w:p>
    <w:p>
      <w:pPr>
        <w:ind w:left="1240" w:hanging="523"/>
        <w:spacing w:after="0"/>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assumes no exercise of the underwriters’ option to purchase additional shares of Class A common stock.</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in this prospectus:</w:t>
      </w:r>
    </w:p>
    <w:p>
      <w:pPr>
        <w:sectPr>
          <w:pgSz w:w="11900" w:h="16838" w:orient="portrait"/>
          <w:cols w:equalWidth="0" w:num="1">
            <w:col w:w="10900"/>
          </w:cols>
          <w:pgMar w:left="320" w:top="459" w:right="679" w:bottom="1440" w:gutter="0" w:footer="0" w:header="0"/>
          <w:type w:val="continuous"/>
        </w:sectPr>
      </w:pPr>
    </w:p>
    <w:p>
      <w:pPr>
        <w:spacing w:after="0" w:line="13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assumes an initial public offering price of $ prospectus);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per share (the midpoint of the price range set forth on the cover of this</w:t>
      </w:r>
    </w:p>
    <w:p>
      <w:pPr>
        <w:spacing w:after="0" w:line="369" w:lineRule="exact"/>
        <w:rPr>
          <w:sz w:val="20"/>
          <w:szCs w:val="20"/>
          <w:color w:val="auto"/>
        </w:rPr>
      </w:pPr>
    </w:p>
    <w:p>
      <w:pPr>
        <w:sectPr>
          <w:pgSz w:w="11900" w:h="16838" w:orient="portrait"/>
          <w:cols w:equalWidth="0" w:num="3">
            <w:col w:w="780" w:space="460"/>
            <w:col w:w="3160" w:space="720"/>
            <w:col w:w="5780"/>
          </w:cols>
          <w:pgMar w:left="320" w:top="459" w:right="679" w:bottom="1440" w:gutter="0" w:footer="0" w:header="0"/>
          <w:type w:val="continuous"/>
        </w:sectPr>
      </w:pPr>
    </w:p>
    <w:p>
      <w:pPr>
        <w:ind w:left="1240" w:hanging="523"/>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130" w:lineRule="exact"/>
        <w:rPr>
          <w:rFonts w:ascii="Arial" w:cs="Arial" w:eastAsia="Arial" w:hAnsi="Arial"/>
          <w:sz w:val="18"/>
          <w:szCs w:val="18"/>
          <w:color w:val="auto"/>
        </w:rPr>
      </w:pPr>
    </w:p>
    <w:p>
      <w:pPr>
        <w:ind w:left="1240" w:right="840" w:hanging="523"/>
        <w:spacing w:after="0" w:line="277"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the completion of the Reorganization Transactions described under “Organization Structure – The Reorganization Transactions;” and</w:t>
      </w:r>
    </w:p>
    <w:p>
      <w:pPr>
        <w:spacing w:after="0" w:line="75" w:lineRule="exact"/>
        <w:rPr>
          <w:rFonts w:ascii="Arial" w:cs="Arial" w:eastAsia="Arial" w:hAnsi="Arial"/>
          <w:sz w:val="18"/>
          <w:szCs w:val="18"/>
          <w:color w:val="auto"/>
        </w:rPr>
      </w:pPr>
    </w:p>
    <w:p>
      <w:pPr>
        <w:ind w:left="1240" w:right="580" w:hanging="523"/>
        <w:spacing w:after="0" w:line="277"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our amended and restated bylaws, which will become effective prior to or upon the closing of this offering.</w:t>
      </w:r>
    </w:p>
    <w:p>
      <w:pPr>
        <w:spacing w:after="0" w:line="170" w:lineRule="exact"/>
        <w:rPr>
          <w:sz w:val="20"/>
          <w:szCs w:val="20"/>
          <w:color w:val="auto"/>
        </w:rPr>
      </w:pPr>
    </w:p>
    <w:p>
      <w:pPr>
        <w:ind w:left="300" w:right="460" w:firstLine="426"/>
        <w:spacing w:after="0" w:line="308" w:lineRule="auto"/>
        <w:rPr>
          <w:sz w:val="20"/>
          <w:szCs w:val="20"/>
          <w:color w:val="auto"/>
        </w:rPr>
      </w:pPr>
      <w:r>
        <w:rPr>
          <w:rFonts w:ascii="Arial" w:cs="Arial" w:eastAsia="Arial" w:hAnsi="Arial"/>
          <w:sz w:val="17"/>
          <w:szCs w:val="17"/>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320" w:top="459" w:right="6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229"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The following tables set forth the summary historical consolidated financial and other data for Definitive OpCo and its subsidiaries for the periods and as of the dates presented.</w:t>
      </w:r>
    </w:p>
    <w:p>
      <w:pPr>
        <w:spacing w:after="0" w:line="170"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The statements of operations data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72" w:lineRule="exact"/>
        <w:rPr>
          <w:sz w:val="20"/>
          <w:szCs w:val="20"/>
          <w:color w:val="auto"/>
        </w:rPr>
      </w:pPr>
    </w:p>
    <w:p>
      <w:pPr>
        <w:ind w:left="300" w:right="160" w:firstLine="426"/>
        <w:spacing w:after="0" w:line="271" w:lineRule="auto"/>
        <w:rPr>
          <w:sz w:val="20"/>
          <w:szCs w:val="20"/>
          <w:color w:val="auto"/>
        </w:rPr>
      </w:pPr>
      <w:r>
        <w:rPr>
          <w:rFonts w:ascii="Arial" w:cs="Arial" w:eastAsia="Arial" w:hAnsi="Arial"/>
          <w:sz w:val="17"/>
          <w:szCs w:val="17"/>
          <w:color w:val="auto"/>
        </w:rPr>
        <w:t>Definitive Healthcare Corp. was formed as a Delaware corporation on May 5, 2021 and has not, to date, conducted any activities other than those incident to its formation, those in preparation for the Reorganization Transactions and preparation of this prospectus and the registration statement of which this prospectus forms a part. The summary historical financial and other data of Definitive Healthcare Corp. has not been presented because Definitive Healthcare Corp. is a newly incorporated entity, has had no business transactions or activities to date, and had no assets or liabilities during the periods presented. Immediately following this offering, Definitive Healthcare Corp. will be a holding company and its sole material asset will be a controlling equity interest in Definitive OpCo. Definitive Healthcare Corp. will, through Definitive OpCo, operate and conduct our business. Following this offering, Definitive OpCo will be considered our predecessor for accounting purposes and its consolidated financial statements will be our historical financial statements.</w:t>
      </w:r>
    </w:p>
    <w:p>
      <w:pPr>
        <w:spacing w:after="0" w:line="178"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6"/>
          <w:szCs w:val="16"/>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give effect to (i) the Reorganization Transactions and (ii) the Offering Transactions, each as if they had occurred on January 1, 2020. The summary unaudited pro forma</w:t>
      </w:r>
    </w:p>
    <w:p>
      <w:pPr>
        <w:spacing w:after="0" w:line="1" w:lineRule="exact"/>
        <w:rPr>
          <w:sz w:val="20"/>
          <w:szCs w:val="20"/>
          <w:color w:val="auto"/>
        </w:rPr>
      </w:pPr>
    </w:p>
    <w:p>
      <w:pPr>
        <w:ind w:left="300" w:right="100"/>
        <w:spacing w:after="0" w:line="253" w:lineRule="auto"/>
        <w:rPr>
          <w:sz w:val="20"/>
          <w:szCs w:val="20"/>
          <w:color w:val="auto"/>
        </w:rPr>
      </w:pPr>
      <w:r>
        <w:rPr>
          <w:rFonts w:ascii="Arial" w:cs="Arial" w:eastAsia="Arial" w:hAnsi="Arial"/>
          <w:sz w:val="18"/>
          <w:szCs w:val="18"/>
          <w:color w:val="auto"/>
        </w:rPr>
        <w:t>consolidated balance sheet data as of , 2021 gives effect to (i) the Reorganization Transactions and (ii) the Offering Transactions, each as if they had occurred on December 31, 2020.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Consolidated Financial Information” and “Organizational Structure.”</w:t>
      </w:r>
    </w:p>
    <w:p>
      <w:pPr>
        <w:spacing w:after="0" w:line="19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Our historical results are not necessarily indicative of future operating results. You should read the information set forth below together with “Organizational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18"/>
        </w:trPr>
        <w:tc>
          <w:tcPr>
            <w:tcW w:w="180" w:type="dxa"/>
            <w:vAlign w:val="bottom"/>
            <w:tcBorders>
              <w:top w:val="single" w:sz="8" w:color="auto"/>
              <w:left w:val="single" w:sz="8" w:color="auto"/>
            </w:tcBorders>
          </w:tcPr>
          <w:p>
            <w:pPr>
              <w:spacing w:after="0"/>
              <w:rPr>
                <w:sz w:val="24"/>
                <w:szCs w:val="24"/>
                <w:color w:val="auto"/>
              </w:rPr>
            </w:pPr>
          </w:p>
        </w:tc>
        <w:tc>
          <w:tcPr>
            <w:tcW w:w="4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gridSpan w:val="7"/>
            <w:vMerge w:val="restart"/>
          </w:tcPr>
          <w:p>
            <w:pPr>
              <w:jc w:val="center"/>
              <w:ind w:right="285"/>
              <w:spacing w:after="0"/>
              <w:rPr>
                <w:sz w:val="20"/>
                <w:szCs w:val="20"/>
                <w:color w:val="auto"/>
              </w:rPr>
            </w:pPr>
            <w:r>
              <w:rPr>
                <w:rFonts w:ascii="Arial" w:cs="Arial" w:eastAsia="Arial" w:hAnsi="Arial"/>
                <w:sz w:val="14"/>
                <w:szCs w:val="14"/>
                <w:b w:val="1"/>
                <w:bCs w:val="1"/>
                <w:color w:val="auto"/>
                <w:w w:val="95"/>
              </w:rPr>
              <w:t>Definitive OpCo</w:t>
            </w:r>
          </w:p>
        </w:tc>
        <w:tc>
          <w:tcPr>
            <w:tcW w:w="3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5"/>
              </w:rPr>
              <w:t>Definitive OpCo</w:t>
            </w: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 w:type="dxa"/>
            <w:vAlign w:val="bottom"/>
            <w:tcBorders>
              <w:left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7"/>
            <w:vMerge w:val="continue"/>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rPr>
              <w:t>(AIDH TopCo, LLC)</w:t>
            </w:r>
          </w:p>
        </w:tc>
        <w:tc>
          <w:tcPr>
            <w:tcW w:w="280" w:type="dxa"/>
            <w:vAlign w:val="bottom"/>
          </w:tcPr>
          <w:p>
            <w:pPr>
              <w:spacing w:after="0"/>
              <w:rPr>
                <w:sz w:val="12"/>
                <w:szCs w:val="12"/>
                <w:color w:val="auto"/>
              </w:rPr>
            </w:pPr>
          </w:p>
        </w:tc>
        <w:tc>
          <w:tcPr>
            <w:tcW w:w="158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Definitive Healthcare</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7"/>
          </w:tcPr>
          <w:p>
            <w:pPr>
              <w:jc w:val="center"/>
              <w:ind w:right="285"/>
              <w:spacing w:after="0" w:line="149" w:lineRule="exact"/>
              <w:rPr>
                <w:sz w:val="20"/>
                <w:szCs w:val="20"/>
                <w:color w:val="auto"/>
              </w:rPr>
            </w:pPr>
            <w:r>
              <w:rPr>
                <w:rFonts w:ascii="Arial" w:cs="Arial" w:eastAsia="Arial" w:hAnsi="Arial"/>
                <w:sz w:val="14"/>
                <w:szCs w:val="14"/>
                <w:b w:val="1"/>
                <w:bCs w:val="1"/>
                <w:color w:val="auto"/>
              </w:rPr>
              <w:t>(AIDH TopCo, LLC)</w:t>
            </w:r>
          </w:p>
        </w:tc>
        <w:tc>
          <w:tcPr>
            <w:tcW w:w="320" w:type="dxa"/>
            <w:vAlign w:val="bottom"/>
          </w:tcPr>
          <w:p>
            <w:pPr>
              <w:spacing w:after="0"/>
              <w:rPr>
                <w:sz w:val="12"/>
                <w:szCs w:val="12"/>
                <w:color w:val="auto"/>
              </w:rPr>
            </w:pPr>
          </w:p>
        </w:tc>
        <w:tc>
          <w:tcPr>
            <w:tcW w:w="16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280" w:type="dxa"/>
            <w:vAlign w:val="bottom"/>
          </w:tcPr>
          <w:p>
            <w:pPr>
              <w:spacing w:after="0"/>
              <w:rPr>
                <w:sz w:val="12"/>
                <w:szCs w:val="12"/>
                <w:color w:val="auto"/>
              </w:rPr>
            </w:pPr>
          </w:p>
        </w:tc>
        <w:tc>
          <w:tcPr>
            <w:tcW w:w="15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64"/>
              <w:spacing w:after="0"/>
              <w:rPr>
                <w:sz w:val="20"/>
                <w:szCs w:val="20"/>
                <w:color w:val="auto"/>
              </w:rPr>
            </w:pPr>
            <w:r>
              <w:rPr>
                <w:rFonts w:ascii="Arial" w:cs="Arial" w:eastAsia="Arial" w:hAnsi="Arial"/>
                <w:sz w:val="14"/>
                <w:szCs w:val="14"/>
                <w:b w:val="1"/>
                <w:bCs w:val="1"/>
                <w:color w:val="auto"/>
                <w:w w:val="89"/>
              </w:rPr>
              <w:t>(Successor Company)</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Corp. Pro Forma</w:t>
            </w: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Borders>
              <w:left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jc w:val="center"/>
              <w:ind w:right="221"/>
              <w:spacing w:after="0" w:line="119" w:lineRule="exact"/>
              <w:rPr>
                <w:sz w:val="20"/>
                <w:szCs w:val="20"/>
                <w:color w:val="auto"/>
              </w:rPr>
            </w:pPr>
            <w:r>
              <w:rPr>
                <w:rFonts w:ascii="Arial" w:cs="Arial" w:eastAsia="Arial" w:hAnsi="Arial"/>
                <w:sz w:val="13"/>
                <w:szCs w:val="13"/>
                <w:b w:val="1"/>
                <w:bCs w:val="1"/>
                <w:color w:val="auto"/>
                <w:w w:val="98"/>
              </w:rPr>
              <w:t>Fiscal Year</w:t>
            </w:r>
          </w:p>
        </w:tc>
        <w:tc>
          <w:tcPr>
            <w:tcW w:w="24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48"/>
        </w:trPr>
        <w:tc>
          <w:tcPr>
            <w:tcW w:w="180" w:type="dxa"/>
            <w:vAlign w:val="bottom"/>
            <w:tcBorders>
              <w:left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1"/>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5"/>
              <w:spacing w:after="0" w:line="149" w:lineRule="exact"/>
              <w:rPr>
                <w:sz w:val="20"/>
                <w:szCs w:val="20"/>
                <w:color w:val="auto"/>
              </w:rPr>
            </w:pPr>
            <w:r>
              <w:rPr>
                <w:rFonts w:ascii="Arial" w:cs="Arial" w:eastAsia="Arial" w:hAnsi="Arial"/>
                <w:sz w:val="14"/>
                <w:szCs w:val="14"/>
                <w:b w:val="1"/>
                <w:bCs w:val="1"/>
                <w:color w:val="auto"/>
                <w:w w:val="90"/>
              </w:rPr>
              <w:t>July 16, to</w:t>
            </w:r>
          </w:p>
        </w:tc>
        <w:tc>
          <w:tcPr>
            <w:tcW w:w="320" w:type="dxa"/>
            <w:vAlign w:val="bottom"/>
          </w:tcPr>
          <w:p>
            <w:pPr>
              <w:spacing w:after="0"/>
              <w:rPr>
                <w:sz w:val="12"/>
                <w:szCs w:val="12"/>
                <w:color w:val="auto"/>
              </w:rPr>
            </w:pPr>
          </w:p>
        </w:tc>
        <w:tc>
          <w:tcPr>
            <w:tcW w:w="16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January 1, to</w:t>
            </w:r>
          </w:p>
        </w:tc>
        <w:tc>
          <w:tcPr>
            <w:tcW w:w="280" w:type="dxa"/>
            <w:vAlign w:val="bottom"/>
          </w:tcPr>
          <w:p>
            <w:pPr>
              <w:spacing w:after="0"/>
              <w:rPr>
                <w:sz w:val="12"/>
                <w:szCs w:val="12"/>
                <w:color w:val="auto"/>
              </w:rPr>
            </w:pPr>
          </w:p>
        </w:tc>
        <w:tc>
          <w:tcPr>
            <w:tcW w:w="15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(in thousands, except per share data)</w:t>
            </w:r>
          </w:p>
        </w:tc>
        <w:tc>
          <w:tcPr>
            <w:tcW w:w="360" w:type="dxa"/>
            <w:vAlign w:val="bottom"/>
          </w:tcPr>
          <w:p>
            <w:pPr>
              <w:spacing w:after="0"/>
              <w:rPr>
                <w:sz w:val="14"/>
                <w:szCs w:val="14"/>
                <w:color w:val="auto"/>
              </w:rPr>
            </w:pPr>
          </w:p>
        </w:tc>
        <w:tc>
          <w:tcPr>
            <w:tcW w:w="1140" w:type="dxa"/>
            <w:vAlign w:val="bottom"/>
            <w:gridSpan w:val="3"/>
          </w:tcPr>
          <w:p>
            <w:pPr>
              <w:jc w:val="center"/>
              <w:ind w:right="221"/>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040" w:type="dxa"/>
            <w:vAlign w:val="bottom"/>
            <w:gridSpan w:val="4"/>
          </w:tcPr>
          <w:p>
            <w:pPr>
              <w:jc w:val="center"/>
              <w:ind w:right="145"/>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3"/>
              </w:rPr>
              <w:t>July 15,</w:t>
            </w:r>
          </w:p>
        </w:tc>
        <w:tc>
          <w:tcPr>
            <w:tcW w:w="280" w:type="dxa"/>
            <w:vAlign w:val="bottom"/>
          </w:tcPr>
          <w:p>
            <w:pPr>
              <w:spacing w:after="0"/>
              <w:rPr>
                <w:sz w:val="14"/>
                <w:szCs w:val="14"/>
                <w:color w:val="auto"/>
              </w:rPr>
            </w:pPr>
          </w:p>
        </w:tc>
        <w:tc>
          <w:tcPr>
            <w:tcW w:w="15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4460" w:type="dxa"/>
            <w:vAlign w:val="bottom"/>
            <w:tcBorders>
              <w:lef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4"/>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272"/>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 of Operations Data</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118,317</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40,045</w:t>
            </w:r>
          </w:p>
        </w:tc>
        <w:tc>
          <w:tcPr>
            <w:tcW w:w="220" w:type="dxa"/>
            <w:vAlign w:val="bottom"/>
          </w:tcPr>
          <w:p>
            <w:pPr>
              <w:spacing w:after="0"/>
              <w:rPr>
                <w:sz w:val="18"/>
                <w:szCs w:val="18"/>
                <w:color w:val="auto"/>
              </w:rPr>
            </w:pPr>
          </w:p>
        </w:tc>
        <w:tc>
          <w:tcPr>
            <w:tcW w:w="700" w:type="dxa"/>
            <w:vAlign w:val="bottom"/>
            <w:gridSpan w:val="2"/>
          </w:tcPr>
          <w:p>
            <w:pPr>
              <w:jc w:val="right"/>
              <w:ind w:right="20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45,458</w:t>
            </w:r>
          </w:p>
        </w:tc>
        <w:tc>
          <w:tcPr>
            <w:tcW w:w="300" w:type="dxa"/>
            <w:vAlign w:val="bottom"/>
          </w:tcPr>
          <w:p>
            <w:pPr>
              <w:spacing w:after="0"/>
              <w:rPr>
                <w:sz w:val="18"/>
                <w:szCs w:val="18"/>
                <w:color w:val="auto"/>
              </w:rPr>
            </w:pPr>
          </w:p>
        </w:tc>
        <w:tc>
          <w:tcPr>
            <w:tcW w:w="160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4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Cost of revenue exclusive of amortization shown</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4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below</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3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22,459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4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57,825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27,097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income from operations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(14,445)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(31,062)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(36,490)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85"/>
              <w:spacing w:after="0"/>
              <w:rPr>
                <w:sz w:val="20"/>
                <w:szCs w:val="20"/>
                <w:color w:val="auto"/>
              </w:rPr>
            </w:pPr>
            <w:r>
              <w:rPr>
                <w:rFonts w:ascii="Arial" w:cs="Arial" w:eastAsia="Arial" w:hAnsi="Arial"/>
                <w:sz w:val="18"/>
                <w:szCs w:val="18"/>
                <w:color w:val="auto"/>
              </w:rPr>
              <w:t>(18,204)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(36,712)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(18,204)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280" w:type="dxa"/>
            <w:vAlign w:val="bottom"/>
          </w:tcPr>
          <w:p>
            <w:pPr>
              <w:ind w:left="1080"/>
              <w:spacing w:after="0"/>
              <w:rPr>
                <w:sz w:val="20"/>
                <w:szCs w:val="20"/>
                <w:color w:val="auto"/>
              </w:rPr>
            </w:pPr>
            <w:r>
              <w:rPr>
                <w:rFonts w:ascii="Arial" w:cs="Arial" w:eastAsia="Arial" w:hAnsi="Arial"/>
                <w:sz w:val="18"/>
                <w:szCs w:val="18"/>
                <w:color w:val="auto"/>
              </w:rPr>
              <w:t>Net (loss) income</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(51,157</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(49,266</w:t>
            </w:r>
          </w:p>
        </w:tc>
        <w:tc>
          <w:tcPr>
            <w:tcW w:w="220" w:type="dxa"/>
            <w:vAlign w:val="bottom"/>
          </w:tcPr>
          <w:p>
            <w:pPr>
              <w:jc w:val="right"/>
              <w:ind w:right="85"/>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12,868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0"/>
                <w:szCs w:val="10"/>
                <w:color w:val="auto"/>
                <w:w w:val="71"/>
              </w:rPr>
              <w:t>$</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data:</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diluted common shares outstanding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Basic earnings (loss) by common share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by common share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80" w:type="dxa"/>
            <w:vAlign w:val="bottom"/>
            <w:tcBorders>
              <w:left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gridSpan w:val="7"/>
          </w:tcPr>
          <w:p>
            <w:pPr>
              <w:jc w:val="center"/>
              <w:ind w:right="1000"/>
              <w:spacing w:after="0"/>
              <w:rPr>
                <w:sz w:val="20"/>
                <w:szCs w:val="20"/>
                <w:color w:val="auto"/>
              </w:rPr>
            </w:pPr>
            <w:r>
              <w:rPr>
                <w:rFonts w:ascii="Arial" w:cs="Arial" w:eastAsia="Arial" w:hAnsi="Arial"/>
                <w:sz w:val="14"/>
                <w:szCs w:val="14"/>
                <w:b w:val="1"/>
                <w:bCs w:val="1"/>
                <w:color w:val="auto"/>
                <w:w w:val="97"/>
              </w:rPr>
              <w:t>Definitive OpCo</w:t>
            </w:r>
          </w:p>
        </w:tc>
        <w:tc>
          <w:tcPr>
            <w:tcW w:w="280" w:type="dxa"/>
            <w:vAlign w:val="bottom"/>
          </w:tcPr>
          <w:p>
            <w:pPr>
              <w:spacing w:after="0"/>
              <w:rPr>
                <w:sz w:val="24"/>
                <w:szCs w:val="24"/>
                <w:color w:val="auto"/>
              </w:rPr>
            </w:pPr>
          </w:p>
        </w:tc>
        <w:tc>
          <w:tcPr>
            <w:tcW w:w="158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Definitive Healthcare</w:t>
            </w:r>
          </w:p>
        </w:tc>
        <w:tc>
          <w:tcPr>
            <w:tcW w:w="0" w:type="dxa"/>
            <w:vAlign w:val="bottom"/>
          </w:tcPr>
          <w:p>
            <w:pPr>
              <w:spacing w:after="0"/>
              <w:rPr>
                <w:sz w:val="1"/>
                <w:szCs w:val="1"/>
                <w:color w:val="auto"/>
              </w:rPr>
            </w:pPr>
          </w:p>
        </w:tc>
      </w:tr>
      <w:tr>
        <w:trPr>
          <w:trHeight w:val="148"/>
        </w:trPr>
        <w:tc>
          <w:tcPr>
            <w:tcW w:w="180" w:type="dxa"/>
            <w:vAlign w:val="bottom"/>
            <w:tcBorders>
              <w:left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gridSpan w:val="8"/>
          </w:tcPr>
          <w:p>
            <w:pPr>
              <w:jc w:val="center"/>
              <w:ind w:right="400"/>
              <w:spacing w:after="0" w:line="149" w:lineRule="exact"/>
              <w:rPr>
                <w:sz w:val="20"/>
                <w:szCs w:val="20"/>
                <w:color w:val="auto"/>
              </w:rPr>
            </w:pPr>
            <w:r>
              <w:rPr>
                <w:rFonts w:ascii="Arial" w:cs="Arial" w:eastAsia="Arial" w:hAnsi="Arial"/>
                <w:sz w:val="14"/>
                <w:szCs w:val="14"/>
                <w:b w:val="1"/>
                <w:bCs w:val="1"/>
                <w:color w:val="auto"/>
              </w:rPr>
              <w:t>(AIDH TopCo, LLC)</w:t>
            </w:r>
          </w:p>
        </w:tc>
        <w:tc>
          <w:tcPr>
            <w:tcW w:w="280" w:type="dxa"/>
            <w:vAlign w:val="bottom"/>
          </w:tcPr>
          <w:p>
            <w:pPr>
              <w:spacing w:after="0"/>
              <w:rPr>
                <w:sz w:val="12"/>
                <w:szCs w:val="12"/>
                <w:color w:val="auto"/>
              </w:rPr>
            </w:pPr>
          </w:p>
        </w:tc>
        <w:tc>
          <w:tcPr>
            <w:tcW w:w="15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0"/>
              </w:rPr>
              <w:t>(Successor Company)</w:t>
            </w:r>
          </w:p>
        </w:tc>
        <w:tc>
          <w:tcPr>
            <w:tcW w:w="280" w:type="dxa"/>
            <w:vAlign w:val="bottom"/>
          </w:tcPr>
          <w:p>
            <w:pPr>
              <w:spacing w:after="0"/>
              <w:rPr>
                <w:sz w:val="14"/>
                <w:szCs w:val="14"/>
                <w:color w:val="auto"/>
              </w:rPr>
            </w:pPr>
          </w:p>
        </w:tc>
        <w:tc>
          <w:tcPr>
            <w:tcW w:w="15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Corp. Pro Forma</w:t>
            </w:r>
          </w:p>
        </w:tc>
        <w:tc>
          <w:tcPr>
            <w:tcW w:w="0" w:type="dxa"/>
            <w:vAlign w:val="bottom"/>
          </w:tcPr>
          <w:p>
            <w:pPr>
              <w:spacing w:after="0"/>
              <w:rPr>
                <w:sz w:val="1"/>
                <w:szCs w:val="1"/>
                <w:color w:val="auto"/>
              </w:rPr>
            </w:pPr>
          </w:p>
        </w:tc>
      </w:tr>
      <w:tr>
        <w:trPr>
          <w:trHeight w:val="142"/>
        </w:trPr>
        <w:tc>
          <w:tcPr>
            <w:tcW w:w="446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40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Borders>
              <w:lef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Consolidated Balance Sheet Data (at end of period)</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24,774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115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1,745,359</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1,721,154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Term loan, net of current portion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457,197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liabilities and members’ capital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1,745,359</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1,721,154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Borders>
              <w:left w:val="single" w:sz="8" w:color="auto"/>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gridSpan w:val="6"/>
            <w:vMerge w:val="restart"/>
          </w:tcPr>
          <w:p>
            <w:pPr>
              <w:jc w:val="center"/>
              <w:ind w:right="400"/>
              <w:spacing w:after="0"/>
              <w:rPr>
                <w:sz w:val="20"/>
                <w:szCs w:val="20"/>
                <w:color w:val="auto"/>
              </w:rPr>
            </w:pPr>
            <w:r>
              <w:rPr>
                <w:rFonts w:ascii="Arial" w:cs="Arial" w:eastAsia="Arial" w:hAnsi="Arial"/>
                <w:sz w:val="14"/>
                <w:szCs w:val="14"/>
                <w:b w:val="1"/>
                <w:bCs w:val="1"/>
                <w:color w:val="auto"/>
                <w:w w:val="95"/>
              </w:rPr>
              <w:t>Definitive OpCo</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4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4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rPr>
              <w:t>(AIDH TopCo, LLC)</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0"/>
              </w:rPr>
              <w:t>(Successor Company)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Fiscal Year</w:t>
            </w:r>
          </w:p>
        </w:tc>
        <w:tc>
          <w:tcPr>
            <w:tcW w:w="3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43"/>
              <w:spacing w:after="0" w:line="119" w:lineRule="exact"/>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July 16, to</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0" w:type="dxa"/>
            <w:vAlign w:val="bottom"/>
          </w:tcPr>
          <w:p>
            <w:pPr>
              <w:spacing w:after="0"/>
              <w:rPr>
                <w:sz w:val="1"/>
                <w:szCs w:val="1"/>
                <w:color w:val="auto"/>
              </w:rPr>
            </w:pPr>
          </w:p>
        </w:tc>
      </w:t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July 15,</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43"/>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Cash Flows Data:</w:t>
            </w: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Cash flows provided by (used in) operating activities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23,217</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(7,133)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used in investing activities</w:t>
            </w:r>
            <w:r>
              <w:rPr>
                <w:rFonts w:ascii="Arial" w:cs="Arial" w:eastAsia="Arial" w:hAnsi="Arial"/>
                <w:sz w:val="15"/>
                <w:szCs w:val="15"/>
                <w:color w:val="auto"/>
              </w:rPr>
              <w:t>(1)</w:t>
            </w:r>
          </w:p>
        </w:tc>
        <w:tc>
          <w:tcPr>
            <w:tcW w:w="2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(23,862)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(1,109,368)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Cash flows provided by (used in) financing activities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16,655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1,125,119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240" w:hanging="422"/>
        <w:spacing w:after="0" w:line="263"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flows used in investing activities includes purchases of property and equipment of $1.4 million, $1.2 million, and $0.7 million, in the periods ended December 31, 2020, July 16, 2019 to December 31, 2019 (Successor), and January 1, 2019 to July 15, 2019 (Predecessor), respectively.</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vMerge w:val="restart"/>
          </w:tcPr>
          <w:p>
            <w:pPr>
              <w:jc w:val="center"/>
              <w:ind w:left="339"/>
              <w:spacing w:after="0"/>
              <w:rPr>
                <w:sz w:val="20"/>
                <w:szCs w:val="20"/>
                <w:color w:val="auto"/>
              </w:rPr>
            </w:pPr>
            <w:r>
              <w:rPr>
                <w:rFonts w:ascii="Arial" w:cs="Arial" w:eastAsia="Arial" w:hAnsi="Arial"/>
                <w:sz w:val="14"/>
                <w:szCs w:val="14"/>
                <w:b w:val="1"/>
                <w:bCs w:val="1"/>
                <w:color w:val="auto"/>
                <w:w w:val="95"/>
              </w:rPr>
              <w:t>Definitive OpCo</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tcPr>
          <w:p>
            <w:pPr>
              <w:jc w:val="center"/>
              <w:ind w:left="339"/>
              <w:spacing w:after="0" w:line="149" w:lineRule="exact"/>
              <w:rPr>
                <w:sz w:val="20"/>
                <w:szCs w:val="20"/>
                <w:color w:val="auto"/>
              </w:rPr>
            </w:pPr>
            <w:r>
              <w:rPr>
                <w:rFonts w:ascii="Arial" w:cs="Arial" w:eastAsia="Arial" w:hAnsi="Arial"/>
                <w:sz w:val="14"/>
                <w:szCs w:val="14"/>
                <w:b w:val="1"/>
                <w:bCs w:val="1"/>
                <w:color w:val="auto"/>
              </w:rPr>
              <w:t>(AIDH TopCo, LLC)</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89"/>
              </w:rPr>
              <w:t>(Successor Company)</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8"/>
              </w:rPr>
              <w:t>Fiscal Year</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41"/>
              <w:spacing w:after="0" w:line="119" w:lineRule="exact"/>
              <w:rPr>
                <w:sz w:val="20"/>
                <w:szCs w:val="20"/>
                <w:color w:val="auto"/>
              </w:rPr>
            </w:pPr>
            <w:r>
              <w:rPr>
                <w:rFonts w:ascii="Arial" w:cs="Arial" w:eastAsia="Arial" w:hAnsi="Arial"/>
                <w:sz w:val="13"/>
                <w:szCs w:val="13"/>
                <w:b w:val="1"/>
                <w:bCs w:val="1"/>
                <w:color w:val="auto"/>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July 16,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0" w:type="dxa"/>
            <w:vAlign w:val="bottom"/>
          </w:tcPr>
          <w:p>
            <w:pPr>
              <w:spacing w:after="0"/>
              <w:rPr>
                <w:sz w:val="1"/>
                <w:szCs w:val="1"/>
                <w:color w:val="auto"/>
              </w:rPr>
            </w:pPr>
          </w:p>
        </w:tc>
      </w:t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360" w:type="dxa"/>
            <w:vAlign w:val="bottom"/>
          </w:tcPr>
          <w:p>
            <w:pPr>
              <w:spacing w:after="0"/>
              <w:rPr>
                <w:sz w:val="14"/>
                <w:szCs w:val="1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4"/>
                <w:szCs w:val="1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July 15,</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89"/>
              </w:rPr>
              <w:t>2020</w:t>
            </w:r>
          </w:p>
        </w:tc>
        <w:tc>
          <w:tcPr>
            <w:tcW w:w="5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r>
              <w:rPr>
                <w:rFonts w:ascii="Arial" w:cs="Arial" w:eastAsia="Arial" w:hAnsi="Arial"/>
                <w:sz w:val="15"/>
                <w:szCs w:val="15"/>
                <w:b w:val="1"/>
                <w:bCs w:val="1"/>
                <w:color w:val="auto"/>
              </w:rPr>
              <w:t>(1)</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15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53,505</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18,651</w:t>
            </w:r>
          </w:p>
        </w:tc>
        <w:tc>
          <w:tcPr>
            <w:tcW w:w="5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Gross Profit</w:t>
            </w:r>
            <w:r>
              <w:rPr>
                <w:rFonts w:ascii="Arial" w:cs="Arial" w:eastAsia="Arial" w:hAnsi="Arial"/>
                <w:sz w:val="15"/>
                <w:szCs w:val="15"/>
                <w:color w:val="auto"/>
              </w:rPr>
              <w:t>(3)</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107,080</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35,393</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Adjusted Gross Margin</w:t>
            </w:r>
            <w:r>
              <w:rPr>
                <w:rFonts w:ascii="Arial" w:cs="Arial" w:eastAsia="Arial" w:hAnsi="Arial"/>
                <w:sz w:val="15"/>
                <w:szCs w:val="15"/>
                <w:color w:val="auto"/>
              </w:rPr>
              <w:t>(4)</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Operating (Loss) Income</w:t>
            </w:r>
            <w:r>
              <w:rPr>
                <w:rFonts w:ascii="Arial" w:cs="Arial" w:eastAsia="Arial" w:hAnsi="Arial"/>
                <w:sz w:val="15"/>
                <w:szCs w:val="15"/>
                <w:color w:val="auto"/>
              </w:rPr>
              <w:t>(5)</w:t>
            </w:r>
          </w:p>
        </w:tc>
        <w:tc>
          <w:tcPr>
            <w:tcW w:w="15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(6,075)</w:t>
            </w: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(12,422)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(6)</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20" w:right="100" w:hanging="422"/>
        <w:spacing w:after="0" w:line="267"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Adjusted EBITDA, Adjusted Gross Profit, Adjusted Gross Margin and Adjusted Operating (Loss) Income are not defined under GAAP. Our use of the terms EBITDA and Adjusted EBITDA may not be comparable to similarly titled measures of other companies in our industry and are not measures of performance calculated in accordance with GAAP. Our presentation of Adjusted EBITDA, Adjusted Gross Profit, Adjusted Gross Margin and Adjusted (Loss) Operating Income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and our (loss) income from operations to Adjusted Operating (Loss) Income.</w:t>
      </w:r>
    </w:p>
    <w:p>
      <w:pPr>
        <w:spacing w:after="0" w:line="1" w:lineRule="exact"/>
        <w:rPr>
          <w:rFonts w:ascii="Arial" w:cs="Arial" w:eastAsia="Arial" w:hAnsi="Arial"/>
          <w:sz w:val="17"/>
          <w:szCs w:val="17"/>
          <w:color w:val="auto"/>
        </w:rPr>
      </w:pPr>
    </w:p>
    <w:p>
      <w:pPr>
        <w:ind w:left="720" w:right="220" w:hanging="422"/>
        <w:spacing w:after="0" w:line="281"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is defined as earnings before (i) debt-related costs, including interest expense and (ii) interest income, (iii) provision for taxes and (iv) depreciation and amortization. Management further adjusts EBITDA in its presentation of Adjusted EBITDA to exclude</w:t>
      </w:r>
    </w:p>
    <w:p>
      <w:pPr>
        <w:spacing w:after="0" w:line="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7"/>
          <w:szCs w:val="17"/>
          <w:color w:val="auto"/>
        </w:rPr>
        <w:t>(i) other (income) expense, (ii) stock-based compensation, (iii) acquisition-related expenses and (iv) other non-recurring expenses.</w:t>
      </w:r>
    </w:p>
    <w:p>
      <w:pPr>
        <w:spacing w:after="0" w:line="20" w:lineRule="exact"/>
        <w:rPr>
          <w:rFonts w:ascii="Arial" w:cs="Arial" w:eastAsia="Arial" w:hAnsi="Arial"/>
          <w:sz w:val="16"/>
          <w:szCs w:val="16"/>
          <w:color w:val="auto"/>
        </w:rPr>
      </w:pPr>
    </w:p>
    <w:p>
      <w:pPr>
        <w:ind w:left="720" w:hanging="42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Gross Profit is defined as revenue less cost of revenue (excluding acquisition-related depreciation and amortization).</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Gross Margin is defined as Adjusted Gross Profit as a percentage of revenue for the applicable period.</w:t>
      </w:r>
    </w:p>
    <w:p>
      <w:pPr>
        <w:spacing w:after="0" w:line="9" w:lineRule="exact"/>
        <w:rPr>
          <w:rFonts w:ascii="Arial" w:cs="Arial" w:eastAsia="Arial" w:hAnsi="Arial"/>
          <w:sz w:val="18"/>
          <w:szCs w:val="18"/>
          <w:color w:val="auto"/>
        </w:rPr>
      </w:pPr>
    </w:p>
    <w:p>
      <w:pPr>
        <w:ind w:left="720" w:right="380" w:hanging="422"/>
        <w:spacing w:after="0" w:line="26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Operating (Loss) Income is defined as (loss) income from operations plus (i) stock-based compensation, (ii) acquisition-related expenses and (iii) other non-recurring adjustments.</w:t>
      </w: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93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Margin is calculated by dividing Adjusted EBITDA by revenue for the applicable period.</w:t>
      </w:r>
    </w:p>
    <w:p>
      <w:pPr>
        <w:spacing w:after="0" w:line="225" w:lineRule="exact"/>
        <w:rPr>
          <w:sz w:val="20"/>
          <w:szCs w:val="20"/>
          <w:color w:val="auto"/>
        </w:rPr>
      </w:pPr>
    </w:p>
    <w:p>
      <w:pPr>
        <w:ind w:left="300" w:right="3280"/>
        <w:spacing w:after="0" w:line="277" w:lineRule="auto"/>
        <w:rPr>
          <w:sz w:val="20"/>
          <w:szCs w:val="20"/>
          <w:color w:val="auto"/>
        </w:rPr>
      </w:pPr>
      <w:r>
        <w:rPr>
          <w:rFonts w:ascii="Arial" w:cs="Arial" w:eastAsia="Arial" w:hAnsi="Arial"/>
          <w:sz w:val="18"/>
          <w:szCs w:val="18"/>
          <w:color w:val="auto"/>
        </w:rPr>
        <w:t>The following table provides a reconciliation of EBITDA and Adjusted EBITDA to net income (loss), their most directly comparable GAAP measure, for each of the periods presented: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320" w:type="dxa"/>
            <w:vAlign w:val="bottom"/>
            <w:gridSpan w:val="6"/>
            <w:vMerge w:val="restart"/>
          </w:tcPr>
          <w:p>
            <w:pPr>
              <w:jc w:val="center"/>
              <w:ind w:right="560"/>
              <w:spacing w:after="0"/>
              <w:rPr>
                <w:sz w:val="20"/>
                <w:szCs w:val="20"/>
                <w:color w:val="auto"/>
              </w:rPr>
            </w:pPr>
            <w:r>
              <w:rPr>
                <w:rFonts w:ascii="Arial" w:cs="Arial" w:eastAsia="Arial" w:hAnsi="Arial"/>
                <w:sz w:val="14"/>
                <w:szCs w:val="14"/>
                <w:b w:val="1"/>
                <w:bCs w:val="1"/>
                <w:color w:val="auto"/>
                <w:w w:val="95"/>
              </w:rPr>
              <w:t>Definitive OpCo</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20" w:type="dxa"/>
            <w:vAlign w:val="bottom"/>
            <w:gridSpan w:val="6"/>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6"/>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rPr>
              <w:t>(AIDH TopCo, LLC)</w:t>
            </w:r>
          </w:p>
        </w:tc>
        <w:tc>
          <w:tcPr>
            <w:tcW w:w="1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94"/>
              <w:spacing w:after="0"/>
              <w:rPr>
                <w:sz w:val="20"/>
                <w:szCs w:val="20"/>
                <w:color w:val="auto"/>
              </w:rPr>
            </w:pPr>
            <w:r>
              <w:rPr>
                <w:rFonts w:ascii="Arial" w:cs="Arial" w:eastAsia="Arial" w:hAnsi="Arial"/>
                <w:sz w:val="14"/>
                <w:szCs w:val="14"/>
                <w:b w:val="1"/>
                <w:bCs w:val="1"/>
                <w:color w:val="auto"/>
                <w:w w:val="89"/>
              </w:rPr>
              <w:t>Successor Company</w:t>
            </w:r>
          </w:p>
        </w:tc>
        <w:tc>
          <w:tcPr>
            <w:tcW w:w="38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Period from</w:t>
            </w:r>
          </w:p>
        </w:tc>
        <w:tc>
          <w:tcPr>
            <w:tcW w:w="380" w:type="dxa"/>
            <w:vAlign w:val="bottom"/>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July 16, 2019</w:t>
            </w:r>
          </w:p>
        </w:tc>
        <w:tc>
          <w:tcPr>
            <w:tcW w:w="1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December 31,</w:t>
            </w:r>
          </w:p>
        </w:tc>
        <w:tc>
          <w:tcPr>
            <w:tcW w:w="100" w:type="dxa"/>
            <w:vAlign w:val="bottom"/>
            <w:tcBorders>
              <w:left w:val="single" w:sz="8" w:color="auto"/>
            </w:tcBorders>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45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(51,157)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36,490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18,204</w:t>
            </w:r>
          </w:p>
        </w:tc>
        <w:tc>
          <w:tcPr>
            <w:tcW w:w="3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30,617</w:t>
            </w:r>
          </w:p>
        </w:tc>
        <w:tc>
          <w:tcPr>
            <w:tcW w:w="38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15"/>
                <w:szCs w:val="15"/>
                <w:color w:val="auto"/>
              </w:rPr>
              <w:t>(a)</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r>
              <w:rPr>
                <w:rFonts w:ascii="Arial" w:cs="Arial" w:eastAsia="Arial" w:hAnsi="Arial"/>
                <w:sz w:val="15"/>
                <w:szCs w:val="15"/>
                <w:color w:val="auto"/>
              </w:rPr>
              <w:t>(b)</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3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M&amp;A related expenses</w:t>
            </w:r>
            <w:r>
              <w:rPr>
                <w:rFonts w:ascii="Arial" w:cs="Arial" w:eastAsia="Arial" w:hAnsi="Arial"/>
                <w:sz w:val="15"/>
                <w:szCs w:val="15"/>
                <w:color w:val="auto"/>
              </w:rPr>
              <w:t>(c)</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14,703</w:t>
            </w:r>
          </w:p>
        </w:tc>
        <w:tc>
          <w:tcPr>
            <w:tcW w:w="3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and one-time items</w:t>
            </w:r>
            <w:r>
              <w:rPr>
                <w:rFonts w:ascii="Arial" w:cs="Arial" w:eastAsia="Arial" w:hAnsi="Arial"/>
                <w:sz w:val="15"/>
                <w:szCs w:val="15"/>
                <w:color w:val="auto"/>
              </w:rPr>
              <w:t>(d)</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3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1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53,505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18,651</w:t>
            </w:r>
          </w:p>
        </w:tc>
        <w:tc>
          <w:tcPr>
            <w:tcW w:w="38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118,317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380" w:type="dxa"/>
            <w:vAlign w:val="bottom"/>
            <w:shd w:val="clear" w:color="auto" w:fill="CCEEFF"/>
          </w:tcPr>
          <w:p>
            <w:pPr>
              <w:spacing w:after="0"/>
              <w:rPr>
                <w:sz w:val="18"/>
                <w:szCs w:val="18"/>
                <w:color w:val="auto"/>
              </w:rPr>
            </w:pPr>
          </w:p>
        </w:tc>
        <w:tc>
          <w:tcPr>
            <w:tcW w:w="220" w:type="dxa"/>
            <w:vAlign w:val="bottom"/>
            <w:tcBorders>
              <w:lef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Adjusted EBITDA margin</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hanging="42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720" w:right="120" w:hanging="422"/>
        <w:spacing w:after="0" w:line="250"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Stock-based compensation costs represent non-cash compensation expense recognized in association with equity awards made to employees and directors.</w:t>
      </w:r>
    </w:p>
    <w:p>
      <w:pPr>
        <w:ind w:left="720" w:hanging="42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M&amp;A related expenses primarily represent legal, accounting and consulting expenses related to our acquisitions.</w:t>
      </w:r>
    </w:p>
    <w:p>
      <w:pPr>
        <w:spacing w:after="0" w:line="9" w:lineRule="exact"/>
        <w:rPr>
          <w:rFonts w:ascii="Arial" w:cs="Arial" w:eastAsia="Arial" w:hAnsi="Arial"/>
          <w:sz w:val="18"/>
          <w:szCs w:val="18"/>
          <w:color w:val="auto"/>
        </w:rPr>
      </w:pPr>
    </w:p>
    <w:p>
      <w:pPr>
        <w:ind w:left="720" w:right="100" w:hanging="422"/>
        <w:spacing w:after="0" w:line="253"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reconciliation of Adjusted Gross Profit and Adjusted Gross Margin to gross profit, its most directly comparable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GAAP measure, for each of the periods presented:</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vMerge w:val="restart"/>
          </w:tcPr>
          <w:p>
            <w:pPr>
              <w:jc w:val="center"/>
              <w:ind w:left="417"/>
              <w:spacing w:after="0"/>
              <w:rPr>
                <w:sz w:val="20"/>
                <w:szCs w:val="20"/>
                <w:color w:val="auto"/>
              </w:rPr>
            </w:pPr>
            <w:r>
              <w:rPr>
                <w:rFonts w:ascii="Arial" w:cs="Arial" w:eastAsia="Arial" w:hAnsi="Arial"/>
                <w:sz w:val="14"/>
                <w:szCs w:val="14"/>
                <w:b w:val="1"/>
                <w:bCs w:val="1"/>
                <w:color w:val="auto"/>
                <w:w w:val="95"/>
              </w:rPr>
              <w:t>Definitive OpCo</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tcPr>
          <w:p>
            <w:pPr>
              <w:jc w:val="center"/>
              <w:ind w:left="417"/>
              <w:spacing w:after="0" w:line="149" w:lineRule="exact"/>
              <w:rPr>
                <w:sz w:val="20"/>
                <w:szCs w:val="20"/>
                <w:color w:val="auto"/>
              </w:rPr>
            </w:pPr>
            <w:r>
              <w:rPr>
                <w:rFonts w:ascii="Arial" w:cs="Arial" w:eastAsia="Arial" w:hAnsi="Arial"/>
                <w:sz w:val="14"/>
                <w:szCs w:val="14"/>
                <w:b w:val="1"/>
                <w:bCs w:val="1"/>
                <w:color w:val="auto"/>
              </w:rPr>
              <w:t>(AIDH TopCo, LLC)</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89"/>
              </w:rPr>
              <w:t>Successor Company</w:t>
            </w: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0"/>
                <w:szCs w:val="10"/>
                <w:color w:val="auto"/>
              </w:rPr>
            </w:pP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July 16, 2019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6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5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340" w:type="dxa"/>
            <w:vAlign w:val="bottom"/>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49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center"/>
              <w:ind w:right="233"/>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9"/>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Reported gross profit</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line="201" w:lineRule="exact"/>
              <w:rPr>
                <w:sz w:val="20"/>
                <w:szCs w:val="20"/>
                <w:color w:val="auto"/>
              </w:rPr>
            </w:pPr>
            <w:r>
              <w:rPr>
                <w:rFonts w:ascii="Arial" w:cs="Arial" w:eastAsia="Arial" w:hAnsi="Arial"/>
                <w:sz w:val="18"/>
                <w:szCs w:val="18"/>
                <w:color w:val="auto"/>
                <w:w w:val="94"/>
              </w:rPr>
              <w:t>Amortization of intangible assets resulting from acquisition-related</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purchase accounting adjustments</w:t>
            </w:r>
            <w:r>
              <w:rPr>
                <w:rFonts w:ascii="Arial" w:cs="Arial" w:eastAsia="Arial" w:hAnsi="Arial"/>
                <w:sz w:val="15"/>
                <w:szCs w:val="15"/>
                <w:color w:val="auto"/>
              </w:rPr>
              <w:t>(a)</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19,169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8,602</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6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107,080</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jc w:val="right"/>
              <w:ind w:right="16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35,393</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118,317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40,045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right="740" w:hanging="422"/>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depreciation expense and the amortization of acquired intangibles, primarily resulting from the Advent acquisition.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following table presents a reconciliation of (Loss) Income from Operations to Adjusted Operating (Loss) Income for the periods presented:</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6"/>
            <w:vMerge w:val="restart"/>
          </w:tcPr>
          <w:p>
            <w:pPr>
              <w:jc w:val="center"/>
              <w:ind w:right="580"/>
              <w:spacing w:after="0"/>
              <w:rPr>
                <w:sz w:val="20"/>
                <w:szCs w:val="20"/>
                <w:color w:val="auto"/>
              </w:rPr>
            </w:pPr>
            <w:r>
              <w:rPr>
                <w:rFonts w:ascii="Arial" w:cs="Arial" w:eastAsia="Arial" w:hAnsi="Arial"/>
                <w:sz w:val="14"/>
                <w:szCs w:val="14"/>
                <w:b w:val="1"/>
                <w:bCs w:val="1"/>
                <w:color w:val="auto"/>
                <w:w w:val="95"/>
              </w:rPr>
              <w:t>Definitive OpCo</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rPr>
              <w:t>(AIDH TopCo, LLC)</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right="97"/>
              <w:spacing w:after="0"/>
              <w:rPr>
                <w:sz w:val="20"/>
                <w:szCs w:val="20"/>
                <w:color w:val="auto"/>
              </w:rPr>
            </w:pPr>
            <w:r>
              <w:rPr>
                <w:rFonts w:ascii="Arial" w:cs="Arial" w:eastAsia="Arial" w:hAnsi="Arial"/>
                <w:sz w:val="14"/>
                <w:szCs w:val="14"/>
                <w:b w:val="1"/>
                <w:bCs w:val="1"/>
                <w:color w:val="auto"/>
                <w:w w:val="89"/>
              </w:rPr>
              <w:t>(Successor Company)</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July 16, 2019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 in thousands)</w:t>
            </w:r>
          </w:p>
        </w:tc>
        <w:tc>
          <w:tcPr>
            <w:tcW w:w="6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340" w:type="dxa"/>
            <w:vAlign w:val="bottom"/>
          </w:tcPr>
          <w:p>
            <w:pPr>
              <w:spacing w:after="0"/>
              <w:rPr>
                <w:sz w:val="12"/>
                <w:szCs w:val="12"/>
                <w:color w:val="auto"/>
              </w:rPr>
            </w:pPr>
          </w:p>
        </w:tc>
        <w:tc>
          <w:tcPr>
            <w:tcW w:w="13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(14,445)</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(31,062)</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Equity compensation costs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expenses</w:t>
            </w:r>
            <w:r>
              <w:rPr>
                <w:rFonts w:ascii="Arial" w:cs="Arial" w:eastAsia="Arial" w:hAnsi="Arial"/>
                <w:sz w:val="15"/>
                <w:szCs w:val="15"/>
                <w:color w:val="auto"/>
              </w:rPr>
              <w:t>(a)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non-recurring adjustments</w:t>
            </w:r>
            <w:r>
              <w:rPr>
                <w:rFonts w:ascii="Arial" w:cs="Arial" w:eastAsia="Arial" w:hAnsi="Arial"/>
                <w:sz w:val="15"/>
                <w:szCs w:val="15"/>
                <w:color w:val="auto"/>
              </w:rPr>
              <w:t>(b)</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(Loss) Income</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hanging="42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Acquisition-related expenses represent legal, accounting and consulting expenses related to our acquisitions.</w:t>
      </w:r>
    </w:p>
    <w:p>
      <w:pPr>
        <w:spacing w:after="0" w:line="23" w:lineRule="exact"/>
        <w:rPr>
          <w:rFonts w:ascii="Arial" w:cs="Arial" w:eastAsia="Arial" w:hAnsi="Arial"/>
          <w:sz w:val="18"/>
          <w:szCs w:val="18"/>
          <w:color w:val="auto"/>
        </w:rPr>
      </w:pPr>
    </w:p>
    <w:p>
      <w:pPr>
        <w:ind w:left="720" w:right="100" w:hanging="422"/>
        <w:spacing w:after="0" w:line="253"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year ended December 31, 2020,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9" w:lineRule="exact"/>
        <w:rPr>
          <w:sz w:val="20"/>
          <w:szCs w:val="20"/>
          <w:color w:val="auto"/>
        </w:rPr>
      </w:pPr>
    </w:p>
    <w:p>
      <w:pPr>
        <w:ind w:left="1080" w:right="44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awareness and acceptance of the healthcare commercial intelligence platform category generally, and the growth and evolution of the category and our addressable market;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consistently procure high-quality and useful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customer support we provide;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accessibility across several operating system and applications;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integration with workflow insights and technologies.</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respond to advances in healthcare commercial intelligence, competitors could surpass the depth, breadth or accuracy of our platform.</w:t>
      </w:r>
    </w:p>
    <w:p>
      <w:pPr>
        <w:spacing w:after="0" w:line="15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not able to obtain and maintain accurate, comprehensive or reliable data, we could experience reduced demand for our platform.</w:t>
      </w:r>
    </w:p>
    <w:p>
      <w:pPr>
        <w:spacing w:after="0" w:line="14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experienced rapid organic and acquisition-driven growth in recent periods. In 2020, our revenue was $118.3 million, an increase of 38% as compared to our revenue of $85.5 million in 2019. We cannot guarantee that we will sustain our recent revenue growth rate in future periods. Further, as we operate in a new and rapidly changing market, widespread acceptance and use of our platform is critical to our future growth and success. Our revenue growth may slow or our revenue may decline for a number of other reasons, including reduced demand for our platform, increased competition, a decrease in the growth or reduction in size of our overall market, the impacts to our business from the COVID-19 pandemic, or if we cannot capitalize on growth opportunities.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achieve or sustain profitability in the future compared to historical levels as we increase investments in our business.</w:t>
      </w:r>
    </w:p>
    <w:p>
      <w:pPr>
        <w:spacing w:after="0" w:line="12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incurred operating losses in the past and may continue to incur net losses in the future. For the year ended December 31, 2020, we had a net loss of $51.2 million, compared to a net loss of $36.4 million for the year ended December 31, 2019.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94"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303"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3"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6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and expand subscriptions of current customers, our revenue growth and financial performance will be negatively impacted.</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Numerous factors may impede our ability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7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fail to offer the optimal pricing and packaging of our solutions, which could negatively impact our growth strategy and ability to effectively compete in the market.</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8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4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7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7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8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7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9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through the integration process which can take time and significant resources. As a Swedish company, Monocl 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76"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solutions and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potential entry into new markets in which we have little or no experience or where competitors may have stronger market positions;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re-training key employees of acquired companies and integrating them into our organizational structure and corporate culture;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30" w:lineRule="exact"/>
        <w:rPr>
          <w:rFonts w:ascii="Arial" w:cs="Arial" w:eastAsia="Arial" w:hAnsi="Arial"/>
          <w:sz w:val="18"/>
          <w:szCs w:val="18"/>
          <w:color w:val="auto"/>
        </w:rPr>
      </w:pPr>
    </w:p>
    <w:p>
      <w:pPr>
        <w:jc w:val="both"/>
        <w:ind w:left="1080" w:right="440" w:hanging="532"/>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29"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 and customer acceptance of a new or changed platform on a temporary or permanent basis;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for acquired platforms to impact the financial performance of existing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technologies;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material adverse effect on our results of operations because of the depreciation and amortization of amounts related to acquired intangible assets, fixed assets and deferred compensation;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currency and regulatory risks and potential additional cybersecurity and compliance risks resulting from entry into new markets;</w:t>
      </w:r>
    </w:p>
    <w:p>
      <w:pPr>
        <w:spacing w:after="0" w:line="142" w:lineRule="exact"/>
        <w:rPr>
          <w:rFonts w:ascii="Arial" w:cs="Arial" w:eastAsia="Arial" w:hAnsi="Arial"/>
          <w:sz w:val="17"/>
          <w:szCs w:val="17"/>
          <w:color w:val="auto"/>
        </w:rPr>
      </w:pPr>
    </w:p>
    <w:p>
      <w:pPr>
        <w:ind w:left="1080" w:right="2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U.S. Department of Justice, for anti-competitive or other reasons.</w:t>
      </w:r>
    </w:p>
    <w:p>
      <w:pPr>
        <w:spacing w:after="0" w:line="23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380 employees in 2019 and over 550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8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To manage growth in our operations and personnel, we will need to continue to grow and improve our operational, financial and management controls and our reporting systems and procedures. We will require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7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w:t>
      </w:r>
    </w:p>
    <w:p>
      <w:pPr>
        <w:spacing w:after="0" w:line="12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7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79"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Demand for our solutions could be affected by factors that affect the healthcare ecosystem, including:</w:t>
      </w:r>
    </w:p>
    <w:p>
      <w:pPr>
        <w:spacing w:after="0" w:line="131" w:lineRule="exact"/>
        <w:rPr>
          <w:sz w:val="20"/>
          <w:szCs w:val="20"/>
          <w:color w:val="auto"/>
        </w:rPr>
      </w:pPr>
    </w:p>
    <w:p>
      <w:pPr>
        <w:ind w:left="1080" w:right="240" w:hanging="532"/>
        <w:spacing w:after="0" w:line="31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4" w:lineRule="exact"/>
        <w:rPr>
          <w:rFonts w:ascii="Arial" w:cs="Arial" w:eastAsia="Arial" w:hAnsi="Arial"/>
          <w:sz w:val="16"/>
          <w:szCs w:val="16"/>
          <w:color w:val="auto"/>
        </w:rPr>
      </w:pPr>
    </w:p>
    <w:p>
      <w:pPr>
        <w:ind w:left="1080" w:hanging="532"/>
        <w:spacing w:after="0" w:line="26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34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29" w:lineRule="exact"/>
        <w:rPr>
          <w:rFonts w:ascii="Arial" w:cs="Arial" w:eastAsia="Arial" w:hAnsi="Arial"/>
          <w:sz w:val="16"/>
          <w:szCs w:val="16"/>
          <w:color w:val="auto"/>
        </w:rPr>
      </w:pPr>
    </w:p>
    <w:p>
      <w:pPr>
        <w:ind w:left="1080" w:right="80" w:hanging="532"/>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100"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76"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2"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70"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discretionary nature of purchase and budget cycles and decisions;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of planned introductions of new intelligence modules by us or our competitors;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lengthy and multi-faceted purchasing approval processes.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estimated the size of our total addressable market based on internally generated data and assumptions, and such information is inherently imprecise. In addition, our projections, assumptions,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5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business could be negatively affected by changes in search engine algorithms and dynamics or other traffic-generating arrangements.</w:t>
      </w:r>
    </w:p>
    <w:p>
      <w:pPr>
        <w:spacing w:after="0" w:line="14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Operations outside the U.S. expose us to risks inherent in international operations.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need additional capital and cannot raise it on acceptable terms, or at all, we may not be able to, among other things:</w:t>
      </w:r>
    </w:p>
    <w:p>
      <w:pPr>
        <w:spacing w:after="0" w:line="131"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 new features, intelligence modules, updates, integrations, capabilities and enhancements;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to provide synthesis of real-time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Catastrophic events could disrupt our business and adversely affect our operating results.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8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solutions utilize open-source software, and any failure to comply with the terms of one or more of these open-source licenses could adversely affect our business.</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Data Privacy and Cybersecurity</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Cyber-attacks and security vulnerabilities could have a material adverse effect on our reputation, business, financial condition and results of operations.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8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92"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7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72"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3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customers use our solutions to understand and navigate the healthcare ecosystem. The collection, processing, retention, security, transfer and disclosure of personal information are subject to a variety of laws and regulations in the United States and abroad that govern data privacy and security (collectively, “Privacy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8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platform involves use and disclosure of de-identified data, which must be de-identified in accordance with applicable laws, including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8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as amended by Health Information Technology for Economic and Clinical Health Act (which we refer to collectively as “HIPAA”), and their implementing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Certain of our customers may be either “business associates” or “covered entities” under HIPAA, including certain of our customers that are not traditional healthcare providers. For example, some of our customers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9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90"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may also be subject to international Privacy Laws such as the European Union’s (“EU’s”)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 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w:t>
      </w:r>
    </w:p>
    <w:p>
      <w:pPr>
        <w:spacing w:after="0" w:line="17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Additionally, we are subject to laws, rules, and regulations (including under the GDPR) regarding cross-border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Customers expect that our solutions can be used in compliance with data protection and data Privacy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p>
    <w:p>
      <w:pPr>
        <w:spacing w:after="0" w:line="192"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96"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 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39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claims brought by our customers, which could be costly and time consuming to defend.</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14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intellectual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76"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legal liability for collecting, displaying or distributing information.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analytics or data science.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8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by others that we are infringing on their intellectual property rights.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8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Third parties may assert claims that we or our customers infringe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Our business could be adversely impacted by changes in laws and regulations related to the Internet or changes in access to the Internet generally.</w:t>
      </w:r>
    </w:p>
    <w:p>
      <w:pPr>
        <w:spacing w:after="0" w:line="15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Certain Tax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will be subject to taxes in the U.S. and certain foreign jurisdictions. Due to economic and political conditions, tax rates in various jurisdictions, including the U.S., may be subject to change. In particular, as a result of the most recent presidential and congressional elections in the U.S., there could be significant changes in tax law and regulations that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7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6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8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Accounting and Financial Reporting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revenue and change in deferred revenue may not be accurate indicators of our future financial results.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9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our cash balances and may not use them effectively.</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92"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225"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secure sufficient additional financing on favorable terms, or at all, to meet our future capital needs.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default under our debt agreements could have significant consequences.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Credit Agreement (as defined herein) contains covenants imposing certain restrictions on our business. These restrictions may affect our ability to operate our business and may limit our ability to take advantage of potential business opportunities as they arise. The Credit Agreements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maintain a maximum total leverage ratio.</w:t>
      </w:r>
    </w:p>
    <w:p>
      <w:pPr>
        <w:spacing w:after="0" w:line="16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Owl Rock Capital Corporation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adversely impacted by the potential discontinuation of the London Interbank Offered Rate (“LIBOR”).</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financial condition and results of operations.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total principal amount of debt outstanding under our Credit Agreement, excluding unamortized debt issuance costs, as of December 31, 2020 was $472.7 million. Our indebtedness could have significant effects on our business, such as:</w:t>
      </w:r>
    </w:p>
    <w:p>
      <w:pPr>
        <w:spacing w:after="0" w:line="76" w:lineRule="exact"/>
        <w:rPr>
          <w:sz w:val="20"/>
          <w:szCs w:val="20"/>
          <w:color w:val="auto"/>
        </w:rPr>
      </w:pPr>
    </w:p>
    <w:p>
      <w:pPr>
        <w:ind w:left="1080" w:right="8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acquisitions, debt service requirements, execution of our growth strategy, capital expenditures and other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3" w:lineRule="exact"/>
        <w:rPr>
          <w:rFonts w:ascii="Arial" w:cs="Arial" w:eastAsia="Arial" w:hAnsi="Arial"/>
          <w:sz w:val="16"/>
          <w:szCs w:val="16"/>
          <w:color w:val="auto"/>
        </w:rPr>
      </w:pPr>
    </w:p>
    <w:p>
      <w:pPr>
        <w:ind w:left="1080" w:right="20" w:hanging="532"/>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89"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21" w:lineRule="exact"/>
        <w:rPr>
          <w:sz w:val="20"/>
          <w:szCs w:val="20"/>
          <w:color w:val="auto"/>
        </w:rPr>
      </w:pPr>
    </w:p>
    <w:p>
      <w:pPr>
        <w:ind w:left="120"/>
        <w:spacing w:after="0"/>
        <w:tabs>
          <w:tab w:leader="none" w:pos="7780" w:val="left"/>
        </w:tabs>
        <w:rPr>
          <w:sz w:val="20"/>
          <w:szCs w:val="20"/>
          <w:color w:val="auto"/>
        </w:rPr>
      </w:pPr>
      <w:r>
        <w:rPr>
          <w:rFonts w:ascii="Arial" w:cs="Arial" w:eastAsia="Arial" w:hAnsi="Arial"/>
          <w:sz w:val="18"/>
          <w:szCs w:val="18"/>
          <w:b w:val="1"/>
          <w:bCs w:val="1"/>
          <w:i w:val="1"/>
          <w:iCs w:val="1"/>
          <w:color w:val="auto"/>
        </w:rPr>
        <w:t>We are a holding company and our principal asset after completion of this offering will be our</w:t>
      </w:r>
      <w:r>
        <w:rPr>
          <w:sz w:val="20"/>
          <w:szCs w:val="20"/>
          <w:color w:val="auto"/>
        </w:rPr>
        <w:tab/>
      </w:r>
      <w:r>
        <w:rPr>
          <w:rFonts w:ascii="Arial" w:cs="Arial" w:eastAsia="Arial" w:hAnsi="Arial"/>
          <w:sz w:val="15"/>
          <w:szCs w:val="15"/>
          <w:b w:val="1"/>
          <w:bCs w:val="1"/>
          <w:i w:val="1"/>
          <w:iCs w:val="1"/>
          <w:color w:val="auto"/>
        </w:rPr>
        <w:t>% ownership interest in Definitive OpCo,</w:t>
      </w:r>
    </w:p>
    <w:p>
      <w:pPr>
        <w:spacing w:after="0" w:line="23" w:lineRule="exact"/>
        <w:rPr>
          <w:sz w:val="20"/>
          <w:szCs w:val="20"/>
          <w:color w:val="auto"/>
        </w:rPr>
      </w:pPr>
    </w:p>
    <w:p>
      <w:pPr>
        <w:ind w:left="120" w:right="580"/>
        <w:spacing w:after="0" w:line="260" w:lineRule="auto"/>
        <w:rPr>
          <w:sz w:val="20"/>
          <w:szCs w:val="20"/>
          <w:color w:val="auto"/>
        </w:rPr>
      </w:pPr>
      <w:r>
        <w:rPr>
          <w:rFonts w:ascii="Arial" w:cs="Arial" w:eastAsia="Arial" w:hAnsi="Arial"/>
          <w:sz w:val="18"/>
          <w:szCs w:val="18"/>
          <w:b w:val="1"/>
          <w:bCs w:val="1"/>
          <w:i w:val="1"/>
          <w:iCs w:val="1"/>
          <w:color w:val="auto"/>
        </w:rPr>
        <w:t>and we are accordingly dependent upon distributions from Definitive OpCo to pay dividends, if any, and taxes, make payments under the Tax Receivable Agreements and pay other expenses.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holding company and, upon completion of the Reorganization Transactions and this offering, our principal asset will be our ownership</w:t>
      </w:r>
    </w:p>
    <w:p>
      <w:pPr>
        <w:spacing w:after="0" w:line="46"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of % of the outstanding LLC Units. See “Organizational Structure.”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will be allocated to holders of LLC Units, including us. Accordingly, we will incur income taxes on our allocable share of any taxable income of Definitive OpCo. We will also incur expenses related to our operations, and will have obligations to make payments under the Tax Receivable Agreements. As the sole managing member of Definitive OpCo, we intend to cause Definitive OpCo to make distributions to the holders of LLC Units (including us) in amounts sufficient to (i) cover all of the income taxes payable on our and the other LLC Unit holders’ respective allocable shares of the taxable income of Definitive OpCo,</w:t>
      </w:r>
    </w:p>
    <w:p>
      <w:pPr>
        <w:spacing w:after="0" w:line="4" w:lineRule="exact"/>
        <w:rPr>
          <w:sz w:val="20"/>
          <w:szCs w:val="20"/>
          <w:color w:val="auto"/>
        </w:rPr>
      </w:pPr>
    </w:p>
    <w:p>
      <w:pPr>
        <w:ind w:left="380" w:hanging="264"/>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allow us to make any payments required under the Tax Receivable Agreements we intend to enter into as part of the Reorganization Transactions,</w:t>
      </w:r>
    </w:p>
    <w:p>
      <w:pPr>
        <w:spacing w:after="0" w:line="32" w:lineRule="exact"/>
        <w:rPr>
          <w:rFonts w:ascii="Arial" w:cs="Arial" w:eastAsia="Arial" w:hAnsi="Arial"/>
          <w:sz w:val="16"/>
          <w:szCs w:val="16"/>
          <w:color w:val="auto"/>
        </w:rPr>
      </w:pPr>
    </w:p>
    <w:p>
      <w:pPr>
        <w:ind w:left="440" w:hanging="324"/>
        <w:spacing w:after="0"/>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fund dividends to our stockholders in accordance with our dividend policy, to the extent that our board of directors declares such dividends and</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 our expenses.</w:t>
      </w:r>
    </w:p>
    <w:p>
      <w:pPr>
        <w:spacing w:after="0" w:line="21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7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Agreements. Our board of directors will determine the appropriate uses for any excess cash so accumulated, which may include, among other uses, dividends, the payment of obligations under the Tax Receivable Agreements and the payment of other expenses. We will have no obligation to distribute such cash (or other available cash other than any declared dividend) to our stockholders. No adjustments to the redemption or exchange ratio of LLC Units for shares of Class A common stock will be made as a result of either (i) any cash distribution by us or (ii) any cash that we retain and do not distribute to our stockholders. To the extent that we do not distribute such excess cash as dividends on our Class A common stock and instead, for example, hold such cash balances or lend them to Definitive OpCo, holders of LLC Units would benefit from any value attributable to such cash balances as a result of their ownership of Class A common stock following a redemption or exchange of their LLC Units. See “Certain Relationships and Related Party Transactions—Amended Definitive OpCo Agreement.”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Tax Receivable Agreements with the TRA Parties require us to make cash payments to them in respect of certain tax benefits to which we may become entitled, and we expect that the payments we will be required to make will be substantial.</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Under the Tax Receivable Agreements, we will be required to make cash payments to the TRA Parties equal to 85% of the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w:t>
      </w:r>
    </w:p>
    <w:p>
      <w:pPr>
        <w:spacing w:after="0" w:line="2" w:lineRule="exact"/>
        <w:rPr>
          <w:sz w:val="20"/>
          <w:szCs w:val="20"/>
          <w:color w:val="auto"/>
        </w:rPr>
      </w:pPr>
    </w:p>
    <w:p>
      <w:pPr>
        <w:ind w:left="120" w:hanging="4"/>
        <w:spacing w:after="0" w:line="267" w:lineRule="auto"/>
        <w:tabs>
          <w:tab w:leader="none" w:pos="4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certain payments made under the Tax Receivable Agreements. The payment obligations under the Tax Receivable Agreements are obligations of the Company and we expect that the amount of the cash payments that we will be required to make under the Tax Receivable Agreements will be significant. Any payments made by us to the TRA Parties under the Tax Receivable Agreements will not be available for reinvestment in our business and will generally reduce the amount of overall cash flow that might have otherwise been available to us. The payments under the Tax Receivable Agreements are not conditioned upon continued ownership of us by the exchanging TRA Parties. Furthermore, our future obligation to make payments under the Tax Receivable Agreements could make us a less attractive target for an acquisition, particularly in the case of an acquirer that cannot use some or all of the tax benefits that are the subject of the Tax Receivable Agreements. For more information, see “Certain Relationships and Related Party Transactions—Tax Receivable Agreements”. The actual tax basis adjustments, as well as the amount and timing of any payments under the Tax Receivable Agreements, will vary depending upon a number of factors, including the timing of redemptions or exchanges by the Continuing Pre-IPO LLC Members, the price of shares of our Class A common stock at the time of the redemptions or exchanges, the extent to which such redemptions or exchanges are taxable, the amount of gain recognized by such holders of LLC Units,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9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Agreements, confers certain benefits upon the TRA Parties that will not benefit holders of our Class A common stock to the same extent that it will benefit the TRA Parties.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organizational structure, including the Tax Receivable Agreements, confers certain benefits upon the TRA Parties that will not benefit the holders of our Class A common stock to the same extent that it will benefit the TRA Parties. We will enter into the Tax Receivable Agreements with Definitive OpCo and the TRA Parties in connection with the completion of this offering, which will provide for the payment by us to the TRA Parties of 85% of the amount of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 (iii) certain payments made under the Tax Receivable Agreements. See “Certain Relationships and Related Party Transactions—Tax Receivable Agreements”. Although we will retain 15% of the amount of such tax benefits, this and other aspects of our organizational structure may adversely impact the future trading market for our Class A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Agreements to the TRA Parties may be accelerated or significantly exceed any actual benefits we realize in respect of the tax attributes subject to the Tax Receivable Agreements.</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Tax Receivable Agreements provide that upon certain mergers, asset sales, other forms of business combinations or other changes of control or if, at any time, we elect an early termination of the Tax Receivable Agreements, then our obligations, or our successor’s obligations, under the Tax Receivable Agreements to make payments would be based on certain assumptions, including an assumption that we would have sufficient taxable income to fully utilize all potential future tax benefits that are subject to the Tax Receivable Agreements.</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a result of the foregoing, (1) we could be required to make payments under the Tax Receivable Agreements that are greater than the specified percentage of any actual benefits we ultimately realize in respect of the tax benefits that are subject to the Tax Receivable Agreements and (2) if we elect to terminate the Tax Receivable Agreements early, we would be required to make an immediate cash payment equal to the present value of the anticipated future tax benefits that are the subject of the Tax Receivable Agreements, based on certain assumptions, which payment may be made significantly in advance of the actual realization, if any, of such future tax benefits. In these situations, our obligations under the Tax Receivable Agreements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Agreements.</w:t>
      </w:r>
    </w:p>
    <w:p>
      <w:pPr>
        <w:spacing w:after="0" w:line="30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Agreements in the event that any tax benefits are disallowed.</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Payments under the Tax Receivable Agreements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Agreements,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Agreements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Agreements.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Agreements until any such challenge is finally settled or determined. Moreover, the excess cash payments we previously made under the Tax Receivable Agreements could be greater than the amount of future cash payments against which we would otherwise be permitted to net such excess. As a result, payments made under the Tax Receivable Agreements could be significantly in excess of any tax savings that we realize from the tax attributes could be that are the subject of the Tax Receivable Agreements.</w:t>
      </w:r>
    </w:p>
    <w:p>
      <w:pPr>
        <w:spacing w:after="0" w:line="2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a result of the Reorganization Transactions, we obtained control over Definitive OpCo. As the sole managing member of Definitive OpCo, Definitive controls and operates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7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offerings of debt or equity securities by us may have a material adverse effect on the market price of our Class A common stock.</w:t>
      </w:r>
    </w:p>
    <w:p>
      <w:pPr>
        <w:spacing w:after="0" w:line="1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directors or stockholders, with certain exceptions, will not have any obligation to present business opportunities to us and may compete with us.</w:t>
      </w:r>
    </w:p>
    <w:p>
      <w:pPr>
        <w:spacing w:after="0" w:line="15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provide that our directors and stockholders, do not have any obligation to offer us an opportunity to participate in business opportunities presented to them even if the opportunity is one that we might reasonably have pursued (and therefore may be free to compete with us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the same business or similar businesses) and that, to the extent permitted by law, such directors and stockholders will not be liable to us or our stockholders for breach of any duty by reason of any such activities.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a result, our directors and stockholders, including Advent, and their respective affiliates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paying any dividends on our Class A common stock in the foreseeable future.</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7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3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27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initial public offering price.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market currently exists for our Class A common stock, and we cannot assure you that an active market will develop for such stock.</w:t>
      </w:r>
    </w:p>
    <w:p>
      <w:pPr>
        <w:spacing w:after="0" w:line="12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initial public offering price. We cannot predict the extent to which investor interest in us will lead to the development of an active trading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1900" w:val="left"/>
        </w:tabs>
        <w:rPr>
          <w:sz w:val="20"/>
          <w:szCs w:val="20"/>
          <w:color w:val="auto"/>
        </w:rPr>
      </w:pPr>
      <w:r>
        <w:rPr>
          <w:rFonts w:ascii="Arial" w:cs="Arial" w:eastAsia="Arial" w:hAnsi="Arial"/>
          <w:sz w:val="18"/>
          <w:szCs w:val="18"/>
          <w:color w:val="auto"/>
        </w:rPr>
        <w:t>market on the</w:t>
      </w:r>
      <w:r>
        <w:rPr>
          <w:sz w:val="20"/>
          <w:szCs w:val="20"/>
          <w:color w:val="auto"/>
        </w:rPr>
        <w:tab/>
      </w:r>
      <w:r>
        <w:rPr>
          <w:rFonts w:ascii="Arial" w:cs="Arial" w:eastAsia="Arial" w:hAnsi="Arial"/>
          <w:sz w:val="16"/>
          <w:szCs w:val="16"/>
          <w:color w:val="auto"/>
        </w:rPr>
        <w:t>or otherwise or how liquid that market might become. An active public market for our Class A common stock may not develop</w:t>
      </w:r>
    </w:p>
    <w:p>
      <w:pPr>
        <w:spacing w:after="0" w:line="23" w:lineRule="exact"/>
        <w:rPr>
          <w:sz w:val="20"/>
          <w:szCs w:val="20"/>
          <w:color w:val="auto"/>
        </w:rPr>
      </w:pPr>
    </w:p>
    <w:p>
      <w:pPr>
        <w:ind w:left="120" w:right="580"/>
        <w:spacing w:after="0" w:line="260" w:lineRule="auto"/>
        <w:rPr>
          <w:sz w:val="20"/>
          <w:szCs w:val="20"/>
          <w:color w:val="auto"/>
        </w:rPr>
      </w:pPr>
      <w:r>
        <w:rPr>
          <w:rFonts w:ascii="Arial" w:cs="Arial" w:eastAsia="Arial" w:hAnsi="Arial"/>
          <w:sz w:val="18"/>
          <w:szCs w:val="18"/>
          <w:color w:val="auto"/>
        </w:rPr>
        <w:t>or be sustained after this offering. If an active public market does not develop or is not sustained, it may be difficult for you to sell your shares of Class A common stock at a price that is attractive to you or at all.</w:t>
      </w:r>
    </w:p>
    <w:p>
      <w:pPr>
        <w:spacing w:after="0" w:line="293"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Shares of our Class A common stock sold in this offering may experience significant volatility on the .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3"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results of operations and those expected by investors and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contents of published research reports about us or our industry or the failure of securities analysts to cover our Class A common stock;</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could be negatively affected by sales of substantial amounts of our Class A common stock in the public markets.</w:t>
      </w:r>
    </w:p>
    <w:p>
      <w:pPr>
        <w:spacing w:after="0" w:line="6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After this offering, we will have shares of Class A common stock outstanding. Of our issued and outstanding shares, all the Class A common stock sold in this offering will be freely transferable, except for any shares held by our “affiliates,” as that term is defined in Rule 144 under the</w:t>
      </w:r>
    </w:p>
    <w:p>
      <w:pPr>
        <w:ind w:left="120"/>
        <w:spacing w:after="0" w:line="255" w:lineRule="auto"/>
        <w:rPr>
          <w:sz w:val="20"/>
          <w:szCs w:val="20"/>
          <w:color w:val="auto"/>
        </w:rPr>
      </w:pPr>
      <w:r>
        <w:rPr>
          <w:rFonts w:ascii="Arial" w:cs="Arial" w:eastAsia="Arial" w:hAnsi="Arial"/>
          <w:sz w:val="18"/>
          <w:szCs w:val="18"/>
          <w:color w:val="auto"/>
        </w:rPr>
        <w:t>Securities Act. Following closing of this offering, approximately % of our outstanding Class A common stock, or %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9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and our officers, directors and holders of substantially all of our outstanding capital stock and other securities have agreed, subject to specified exceptions, not to directly or indirectly:</w:t>
      </w:r>
    </w:p>
    <w:p>
      <w:pPr>
        <w:spacing w:after="0" w:line="76" w:lineRule="exact"/>
        <w:rPr>
          <w:sz w:val="20"/>
          <w:szCs w:val="20"/>
          <w:color w:val="auto"/>
        </w:rPr>
      </w:pPr>
    </w:p>
    <w:p>
      <w:pPr>
        <w:ind w:left="1080" w:right="2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w:t>
      </w:r>
    </w:p>
    <w:p>
      <w:pPr>
        <w:spacing w:after="0" w:line="75"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for a period of 180 days after the date of this prospectus without the prior written consent of the representatives of the underwriters.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This restriction terminates after the close of trading of the Class A common stock on and including the 180th day after the date of this prospectus. The representatives of the underwriters may, in their sole discretion and at any time or from time to time before the termination of the 180-day period release all or any portion of the securities subject to lock-up agreements. See “Underwriting.”</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292"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The future issuance of additional Class A common stock in connection with any equity plans, acquisitions or otherwise will dilute all other stockholdings.</w:t>
      </w:r>
    </w:p>
    <w:p>
      <w:pPr>
        <w:spacing w:after="0" w:line="6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After this offering, we will have an aggregate of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incur immediate dilution as a result of this offering.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purchase Class A common stock in this offering, you will pay more for your shares than the amounts paid by existing stockholders for their</w:t>
      </w:r>
    </w:p>
    <w:p>
      <w:pPr>
        <w:spacing w:after="0" w:line="46" w:lineRule="exact"/>
        <w:rPr>
          <w:sz w:val="20"/>
          <w:szCs w:val="20"/>
          <w:color w:val="auto"/>
        </w:rPr>
      </w:pPr>
    </w:p>
    <w:p>
      <w:pPr>
        <w:ind w:left="120" w:right="260"/>
        <w:spacing w:after="0" w:line="265" w:lineRule="auto"/>
        <w:rPr>
          <w:sz w:val="20"/>
          <w:szCs w:val="20"/>
          <w:color w:val="auto"/>
        </w:rPr>
      </w:pPr>
      <w:r>
        <w:rPr>
          <w:rFonts w:ascii="Arial" w:cs="Arial" w:eastAsia="Arial" w:hAnsi="Arial"/>
          <w:sz w:val="17"/>
          <w:szCs w:val="17"/>
          <w:color w:val="auto"/>
        </w:rPr>
        <w:t>shares. As a result, you will incur immediate dilution of $ per share, representing the difference between the assumed initial public offering price of $ per share (the midpoint of the estimated initial public offering price range set forth on the cover of this prospectus) and our pro</w:t>
      </w:r>
    </w:p>
    <w:p>
      <w:pPr>
        <w:ind w:left="120"/>
        <w:spacing w:after="0"/>
        <w:rPr>
          <w:sz w:val="20"/>
          <w:szCs w:val="20"/>
          <w:color w:val="auto"/>
        </w:rPr>
      </w:pPr>
      <w:r>
        <w:rPr>
          <w:rFonts w:ascii="Arial" w:cs="Arial" w:eastAsia="Arial" w:hAnsi="Arial"/>
          <w:sz w:val="18"/>
          <w:szCs w:val="18"/>
          <w:color w:val="auto"/>
        </w:rPr>
        <w:t>forma net tangible book value (deficit) per share after giving effect to this offering. See “Dilution.”</w:t>
      </w:r>
    </w:p>
    <w:p>
      <w:pPr>
        <w:spacing w:after="0" w:line="31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ectPr>
          <w:pgSz w:w="11900" w:h="16838" w:orient="portrait"/>
          <w:cols w:equalWidth="0" w:num="1">
            <w:col w:w="11120"/>
          </w:cols>
          <w:pgMar w:left="320" w:top="459" w:right="459" w:bottom="1440" w:gutter="0" w:footer="0" w:header="0"/>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180" w:hanging="543"/>
        <w:spacing w:after="0" w:line="277"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listing requirements of , and other applicable securities rules and regulations. These</w:t>
      </w:r>
    </w:p>
    <w:p>
      <w:pPr>
        <w:spacing w:after="0" w:line="103" w:lineRule="exact"/>
        <w:rPr>
          <w:sz w:val="20"/>
          <w:szCs w:val="20"/>
          <w:color w:val="auto"/>
        </w:rPr>
      </w:pPr>
    </w:p>
    <w:p>
      <w:pPr>
        <w:sectPr>
          <w:pgSz w:w="11900" w:h="16838" w:orient="portrait"/>
          <w:cols w:equalWidth="0" w:num="2">
            <w:col w:w="380" w:space="720"/>
            <w:col w:w="1002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59" w:right="4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96"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current resources may not be sufficient to fulfill our public company obligations.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Following the closing of this offering, we will be subject to various regulatory requirements, including those of the SEC and the .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8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2"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that will be effective upon closing of this offering may make it more difficult for, or prevent a third-party from, acquiring control of us without the approval of our Board. Among other things, these provisions:</w:t>
      </w:r>
    </w:p>
    <w:p>
      <w:pPr>
        <w:spacing w:after="0" w:line="63" w:lineRule="exact"/>
        <w:rPr>
          <w:sz w:val="20"/>
          <w:szCs w:val="20"/>
          <w:color w:val="auto"/>
        </w:rPr>
      </w:pPr>
    </w:p>
    <w:p>
      <w:pPr>
        <w:ind w:left="1080" w:right="1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for a classified Board with staggered three-year terms until the third annual meeting of stockholders after the fifth anniversary of this offering;</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to fix the number of directors;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the power of our Board to fill any vacancy on our Board, whether such vacancy occurs as a result of an increase in the number of directors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the issuance of preferred stock without any need for action by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 not permit stockholders to call special meetings of stockholders; and</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on by stockholders at stockholder meetings.</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prior to the completion of this offering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Law (the “DGCL”), which provides for liability of directors for unlawful payments of dividends of unlawful stock purchase or redemptions,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300" w:lineRule="exact"/>
        <w:rPr>
          <w:sz w:val="20"/>
          <w:szCs w:val="20"/>
          <w:color w:val="auto"/>
        </w:rPr>
      </w:pPr>
    </w:p>
    <w:p>
      <w:pPr>
        <w:jc w:val="both"/>
        <w:ind w:left="120" w:right="140"/>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incorporation will designate the Court of Chancery of the State of Delaware and the federal district courts of the U.S. as the sole and exclusive forums for certain types of actions and proceedings that may be initiated by our stockholders, which could limit our stockholders’ ability to obtain a favorable judicial forum for disputes with us or our directors, officers or other employees.</w:t>
      </w:r>
    </w:p>
    <w:p>
      <w:pPr>
        <w:spacing w:after="0" w:line="23"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will provide that, subject to certain exceptions, unless we consent in writing in advance to the selection of an alternative forum, the Court of Chancery of the State of Delaware shall be the sole and exclusive forum for (i) any derivative action or proceeding brought on our behalf, (ii) any action asserting a claim of breach of a fiduciary duty owed by, or any wrongdoing by, any of our directors, officers or employees to us or our stockholders, (iii) any action asserting a claim against us or our directors, officers or employees arising pursuant to any provision of the DGCL, our amended and restated certificate of incorporation or our amended and restated bylaws, (iv) any action to interpret, apply, enforce or determine the validity of our amended and restated certificate of incorporation or our amended and restated bylaws, or (v) any action asserting a claim against us or our directors, officers or employees governed by the internal affairs doctrine. Our amended and restated certificate of incorporation will also provide that, unless we consent in writing in advance to the selection of an alternative forum the federal district courts of the U.S. of America will be the sole and exclusive forum for claims arising under the Securities Act, the Exchange Act or other federal securities laws and rules and regulations promulgated thereunder.</w:t>
      </w:r>
    </w:p>
    <w:p>
      <w:pPr>
        <w:spacing w:after="0" w:line="185"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While the Delaware courts have determined that such choice of forum provisions are facially valid, a stockholder may nevertheless seek to bring an action in a venue other than those designated in the exclusive forum provisions. In such instance, we would expect to assert the validity and enforceability of our exclusive forum provisions, which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issue preferred stock may deter takeover attempts.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w:t>
      </w:r>
    </w:p>
    <w:p>
      <w:pPr>
        <w:spacing w:after="0" w:line="1" w:lineRule="exact"/>
        <w:rPr>
          <w:sz w:val="20"/>
          <w:szCs w:val="20"/>
          <w:color w:val="auto"/>
        </w:rPr>
      </w:pPr>
    </w:p>
    <w:p>
      <w:pPr>
        <w:ind w:left="120" w:right="240"/>
        <w:spacing w:after="0" w:line="323" w:lineRule="auto"/>
        <w:rPr>
          <w:sz w:val="20"/>
          <w:szCs w:val="20"/>
          <w:color w:val="auto"/>
        </w:rPr>
      </w:pPr>
      <w:r>
        <w:rPr>
          <w:rFonts w:ascii="Arial" w:cs="Arial" w:eastAsia="Arial" w:hAnsi="Arial"/>
          <w:sz w:val="16"/>
          <w:szCs w:val="16"/>
          <w:color w:val="auto"/>
        </w:rPr>
        <w:t>to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prospectus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5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82" w:lineRule="exact"/>
        <w:rPr>
          <w:sz w:val="20"/>
          <w:szCs w:val="20"/>
          <w:color w:val="auto"/>
        </w:rPr>
      </w:pPr>
    </w:p>
    <w:p>
      <w:pPr>
        <w:jc w:val="both"/>
        <w:ind w:left="1080" w:right="380" w:hanging="532"/>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142" w:lineRule="exact"/>
        <w:rPr>
          <w:rFonts w:ascii="Arial" w:cs="Arial" w:eastAsia="Arial" w:hAnsi="Arial"/>
          <w:sz w:val="17"/>
          <w:szCs w:val="17"/>
          <w:color w:val="auto"/>
        </w:rPr>
      </w:pPr>
    </w:p>
    <w:p>
      <w:pPr>
        <w:ind w:left="1080" w:right="20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75"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75"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speaks only as of the date on which we make it. Factors or events that could cause our actual results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20"/>
          </w:cols>
          <w:pgMar w:left="320" w:top="459" w:right="6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ORGANIZATIONAL 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Prior to the Reorganization Transactions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currently conduct our business through Definitive OpCo and its subsidiaries. Following this offering, we will be a holding company and our sole material asset will be an ownership interest in Definitive OpCo. Definitive Healthcare Corp. was incorporated as a Delaware corporation on May 5, 2021 to serve as the issuer of the Class A common stock offered hereby.</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Prior to the consummation of the Reorganization Transactions, the amended and restated limited liability company agreement of Definitive OpCo will be amended and restated to, among other things, convert all outstanding equity interests into LLC Units and appoint Definitive Healthcare Corp. as the sole managing member of Definitive OpCo. After these transactions and prior to the consummation of the Reorganization Transactions and the completion of this offering, all of Definitive OpCo’s outstanding equity interests will be owned by the Pre-IPO LLC Members:</w:t>
      </w:r>
    </w:p>
    <w:p>
      <w:pPr>
        <w:spacing w:after="0" w:line="63" w:lineRule="exact"/>
        <w:rPr>
          <w:sz w:val="20"/>
          <w:szCs w:val="20"/>
          <w:color w:val="auto"/>
        </w:rPr>
      </w:pPr>
    </w:p>
    <w:p>
      <w:pPr>
        <w:ind w:left="1080" w:right="56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Affiliates of Advent and certain other minority equity holders, indirectly through certain entities treated as corporations for U.S. tax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Affiliates of Spectrum Equity;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DH Holdings;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AIDH Management Holdings, LLC;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Affiliates of 22C Capital.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Reorganization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this offering, we intend to enter into the Reorganization Transactions.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Pre-IPO LLC Members who continue to hold interests in Definitive OpCo after the Reorganization Transactions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authorize the issuance of two classes of common stock: Class A common stock and Class B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Prior to the completion of this offering, we will acquire, directly and indirectly, LLC Units through the Mergers. The Reorganization Parties will</w:t>
      </w:r>
    </w:p>
    <w:p>
      <w:pPr>
        <w:spacing w:after="0" w:line="3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collectively hold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the Management LLC Class A Units that correspond to the Topco Class A Units on a one-for-one basis, AIDH Management Holdings, LLC granted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Reclassified Management LLC Class B Units and the Class B Units issued to AIDH Management Holdings, LLC by AIDH Topco, LLC will be converted and reclassified into Reclassified Class B LLC Units and will be subject to the vesting terms described in “Executive and Director Compensation—Equity Compensation.” In connection with the reorganization, Class B common stock will be issued to each holder of AIDH Management Holdings, LLC Class A Units and Reclassified Management Holdings Class B Units, on a one-for-one basis to such holder’s Management, LLC Class A Units and Reclassified Management Holdings Class B Units; provided that Class B common stock issued to a holder of Reclassified Management LLC Class B Units will not be entitled to any voting rights until such time as such Reclassified Management LLC Class B Units vest.</w:t>
      </w:r>
    </w:p>
    <w:p>
      <w:pPr>
        <w:spacing w:after="0" w:line="1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Definitive OpCo will enter into the Amended LLC Agreement. Under the Amended LLC Agreement, holders of LLC Units (other than us and our wholly owned subsidiaries), including the Continuing Pre-IPO LLC Members, will have the right, from and after the completion of this offering (subject to the terms of the Amended LLC Agreement), to require Definitive OpCo to redeem all or a portion of their LLC Units for, at our election, newly issued shares of Class A common stock on a one-for-one basis or a cash payment equal to the volume-weighted average market price of one share of our Class A common stock for each LLC Unit redeemed (subject to customary adjustments, including for stock splits, stock dividends and reclassifications) in accordance with the terms of the Amended LLC Agreement. Additionally, in the event of a redemption request from a holder of LLC Units, we may, at our option, effect a direct exchange of cash or Class A common stock for LLC Units in lieu of such a redemption. Shares of Class B common stock will be cancelled on a one-for-one basis if we, following a redemption request from a holder of LLC Units, redeem or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shares of Class B common stock may not be sold, transferred or otherwise disposed of.</w:t>
      </w:r>
    </w:p>
    <w:p>
      <w:pPr>
        <w:spacing w:after="0" w:line="182" w:lineRule="exact"/>
        <w:rPr>
          <w:sz w:val="20"/>
          <w:szCs w:val="20"/>
          <w:color w:val="auto"/>
        </w:rPr>
      </w:pPr>
    </w:p>
    <w:p>
      <w:pPr>
        <w:ind w:left="560"/>
        <w:spacing w:after="0"/>
        <w:tabs>
          <w:tab w:leader="none" w:pos="2220" w:val="left"/>
        </w:tabs>
        <w:rPr>
          <w:sz w:val="20"/>
          <w:szCs w:val="20"/>
          <w:color w:val="auto"/>
        </w:rPr>
      </w:pP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A common stock to the public pursuant to this offering.</w:t>
      </w:r>
    </w:p>
    <w:p>
      <w:pPr>
        <w:spacing w:after="0" w:line="22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will use all of the net proceeds from this offering (including net proceeds received if the underwriters exercise their option to purchase additional shares of Class A common stock in full) to acquire newly issued LLC Units from Definitive OpCo at a purchase price per LLC Unit equal to the initial public offering price of Class A common stock, after deducting the underwriting discounts and commissions, collectively</w:t>
      </w:r>
    </w:p>
    <w:p>
      <w:pPr>
        <w:ind w:left="120" w:right="280"/>
        <w:spacing w:after="0" w:line="260" w:lineRule="auto"/>
        <w:rPr>
          <w:sz w:val="20"/>
          <w:szCs w:val="20"/>
          <w:color w:val="auto"/>
        </w:rPr>
      </w:pPr>
      <w:r>
        <w:rPr>
          <w:rFonts w:ascii="Arial" w:cs="Arial" w:eastAsia="Arial" w:hAnsi="Arial"/>
          <w:sz w:val="18"/>
          <w:szCs w:val="18"/>
          <w:color w:val="auto"/>
        </w:rPr>
        <w:t>representing % of Definitive OpCo’s outstanding LLC Units (or %, if the underwriters exercise their option to purchase additional shares of Class A common stock in full).</w:t>
      </w:r>
    </w:p>
    <w:p>
      <w:pPr>
        <w:spacing w:after="0" w:line="185"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We will enter into one or more Tax Receivable Agreements, that will obligate us to make payments to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 (iii) certain payments made under the Tax Receivable Agreements. We will retain the benefit of the remaining 15% of these tax savings.</w:t>
      </w:r>
    </w:p>
    <w:p>
      <w:pPr>
        <w:sectPr>
          <w:pgSz w:w="11900" w:h="16838" w:orient="portrait"/>
          <w:cols w:equalWidth="0" w:num="1">
            <w:col w:w="11080"/>
          </w:cols>
          <w:pgMar w:left="320" w:top="459" w:right="499" w:bottom="1440" w:gutter="0" w:footer="0" w:header="0"/>
        </w:sectPr>
      </w:pP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cause Definitive OpCo to use the proceeds from the issuance of LLC Units to (i) pay fees and expenses of approximately $ connection with this offering and (ii) as otherwise set forth in “Use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w:t>
      </w:r>
    </w:p>
    <w:p>
      <w:pPr>
        <w:spacing w:after="0" w:line="482" w:lineRule="exact"/>
        <w:rPr>
          <w:sz w:val="20"/>
          <w:szCs w:val="20"/>
          <w:color w:val="auto"/>
        </w:rPr>
      </w:pPr>
    </w:p>
    <w:p>
      <w:pPr>
        <w:sectPr>
          <w:pgSz w:w="11900" w:h="16838" w:orient="portrait"/>
          <w:cols w:equalWidth="0" w:num="2">
            <w:col w:w="10020" w:space="720"/>
            <w:col w:w="340"/>
          </w:cols>
          <w:pgMar w:left="320" w:top="459" w:right="49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the Reorganization Transactions and This Offering</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Reorganization Transactions are intended to create a holding company that will facilitate public ownership of, and investment in, the Company and are structured in a tax-efficient manner for the Blocker Companies and Reorganization Parties. The Continuing Pre-IPO LLC Members will continue to hold their ownership interests in Definitive OpCo until such time in the future as they may elect to cause us to redeem or exchange their LLC Units for a corresponding number of shares of our Class A common stock or cash.</w:t>
      </w:r>
    </w:p>
    <w:p>
      <w:pPr>
        <w:sectPr>
          <w:pgSz w:w="11900" w:h="16838" w:orient="portrait"/>
          <w:cols w:equalWidth="0" w:num="1">
            <w:col w:w="11080"/>
          </w:cols>
          <w:pgMar w:left="320" w:top="459" w:right="499" w:bottom="1440" w:gutter="0" w:footer="0" w:header="0"/>
          <w:type w:val="continuous"/>
        </w:sectPr>
      </w:pP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estimate that the offering expenses (other than the underwriting discounts and commissions) will be approximately $ offering expenses will be paid for by Definitive OpCo. See “Use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All of such</w:t>
      </w:r>
    </w:p>
    <w:p>
      <w:pPr>
        <w:spacing w:after="0" w:line="452" w:lineRule="exact"/>
        <w:rPr>
          <w:sz w:val="20"/>
          <w:szCs w:val="20"/>
          <w:color w:val="auto"/>
        </w:rPr>
      </w:pPr>
    </w:p>
    <w:p>
      <w:pPr>
        <w:sectPr>
          <w:pgSz w:w="11900" w:h="16838" w:orient="portrait"/>
          <w:cols w:equalWidth="0" w:num="2">
            <w:col w:w="9240" w:space="720"/>
            <w:col w:w="1120"/>
          </w:cols>
          <w:pgMar w:left="320" w:top="459" w:right="49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The following diagram depicts our organizational structure immediately following the consummation of the Reorganization Transactions, the</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completion of this offering and the application of the net proceeds from this offering, based on an assumed initial public offering price of $ per share of Class A common stock (the midpoint of the estimated price range set forth on the cover page of this prospectus) and assuming the underwriters do not exercise their option to purchase additional shares of Class A common stock. This chart is provided for illustrative purposes only and does not purport to represent all legal entities within our organizational structure.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205740</wp:posOffset>
            </wp:positionV>
            <wp:extent cx="4406265" cy="46291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406265"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Upon completion of the transactions described above, this offering and the application of the Company’s net proceeds from this offering:</w:t>
      </w:r>
    </w:p>
    <w:p>
      <w:pPr>
        <w:sectPr>
          <w:pgSz w:w="11900" w:h="16838" w:orient="portrait"/>
          <w:cols w:equalWidth="0" w:num="1">
            <w:col w:w="11000"/>
          </w:cols>
          <w:pgMar w:left="320" w:top="459" w:right="579" w:bottom="1440" w:gutter="0" w:footer="0" w:header="0"/>
        </w:sectPr>
      </w:pP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Definitive Healthcare Corp. will be appointed as the managing member of Definitive OpCo and will hold LLC Units, constituting % of the outstanding economic interests in Definitive OpCo (or LLC Units, constituting % of the outstanding economic interests in Definitive OpCo if the underwriters exercise their option to purchase additional shares of Class A common stock in full).</w:t>
      </w:r>
    </w:p>
    <w:p>
      <w:pPr>
        <w:spacing w:after="0" w:line="92" w:lineRule="exact"/>
        <w:rPr>
          <w:sz w:val="20"/>
          <w:szCs w:val="20"/>
          <w:color w:val="auto"/>
        </w:rPr>
      </w:pPr>
    </w:p>
    <w:p>
      <w:pPr>
        <w:sectPr>
          <w:pgSz w:w="11900" w:h="16838" w:orient="portrait"/>
          <w:cols w:equalWidth="0" w:num="2">
            <w:col w:w="620" w:space="460"/>
            <w:col w:w="9920"/>
          </w:cols>
          <w:pgMar w:left="320" w:top="459" w:right="57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00"/>
        <w:spacing w:after="0" w:line="255" w:lineRule="auto"/>
        <w:rPr>
          <w:sz w:val="20"/>
          <w:szCs w:val="20"/>
          <w:color w:val="auto"/>
        </w:rPr>
      </w:pPr>
      <w:r>
        <w:rPr>
          <w:rFonts w:ascii="Arial" w:cs="Arial" w:eastAsia="Arial" w:hAnsi="Arial"/>
          <w:sz w:val="18"/>
          <w:szCs w:val="18"/>
          <w:color w:val="auto"/>
        </w:rPr>
        <w:t>The Pre-IPO LLC Members will collectively hold (i) (x) shares of Class B common stock and (y) LLC Units, which together directly and indirectly represent approximately % of the economic interest in Definitive OpCo (or % if the underwriters exercise their option to purchase additional shares of Class A common stock in full) and (ii) through their collective ownership of shares of Class A and shares of Class B common stock, approximately % of the combined voting power of our common stock (or % if the underwriters exercise their option to purchase additional shares of Class A common stock in full).</w:t>
      </w:r>
    </w:p>
    <w:p>
      <w:pPr>
        <w:spacing w:after="0" w:line="125" w:lineRule="exact"/>
        <w:rPr>
          <w:sz w:val="20"/>
          <w:szCs w:val="20"/>
          <w:color w:val="auto"/>
        </w:rPr>
      </w:pPr>
    </w:p>
    <w:p>
      <w:pPr>
        <w:sectPr>
          <w:pgSz w:w="11900" w:h="16838" w:orient="portrait"/>
          <w:cols w:equalWidth="0" w:num="2">
            <w:col w:w="620" w:space="460"/>
            <w:col w:w="9920"/>
          </w:cols>
          <w:pgMar w:left="320" w:top="459" w:right="579" w:bottom="1440" w:gutter="0" w:footer="0" w:header="0"/>
          <w:type w:val="continuous"/>
        </w:sectPr>
      </w:pPr>
    </w:p>
    <w:p>
      <w:pPr>
        <w:jc w:val="center"/>
        <w:ind w:right="-25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000"/>
          </w:cols>
          <w:pgMar w:left="320" w:top="459" w:right="57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19"/>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240"/>
              <w:spacing w:after="0"/>
              <w:rPr>
                <w:sz w:val="20"/>
                <w:szCs w:val="20"/>
                <w:color w:val="auto"/>
              </w:rPr>
            </w:pPr>
            <w:r>
              <w:rPr>
                <w:rFonts w:ascii="Arial" w:cs="Arial" w:eastAsia="Arial" w:hAnsi="Arial"/>
                <w:sz w:val="18"/>
                <w:szCs w:val="18"/>
                <w:color w:val="auto"/>
              </w:rPr>
              <w:t>Investors in this offering will collectively beneficially own (i)</w:t>
            </w:r>
          </w:p>
        </w:tc>
        <w:tc>
          <w:tcPr>
            <w:tcW w:w="4340" w:type="dxa"/>
            <w:vAlign w:val="bottom"/>
            <w:gridSpan w:val="3"/>
          </w:tcPr>
          <w:p>
            <w:pPr>
              <w:ind w:left="440"/>
              <w:spacing w:after="0"/>
              <w:rPr>
                <w:sz w:val="20"/>
                <w:szCs w:val="20"/>
                <w:color w:val="auto"/>
              </w:rPr>
            </w:pPr>
            <w:r>
              <w:rPr>
                <w:rFonts w:ascii="Arial" w:cs="Arial" w:eastAsia="Arial" w:hAnsi="Arial"/>
                <w:sz w:val="18"/>
                <w:szCs w:val="18"/>
                <w:color w:val="auto"/>
                <w:w w:val="96"/>
              </w:rPr>
              <w:t>shares of our Class A common stock, representing</w:t>
            </w:r>
          </w:p>
        </w:tc>
        <w:tc>
          <w:tcPr>
            <w:tcW w:w="88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rPr>
              <w:t>approximately</w:t>
            </w:r>
          </w:p>
        </w:tc>
        <w:tc>
          <w:tcPr>
            <w:tcW w:w="4920" w:type="dxa"/>
            <w:vAlign w:val="bottom"/>
            <w:gridSpan w:val="2"/>
          </w:tcPr>
          <w:p>
            <w:pPr>
              <w:ind w:left="360"/>
              <w:spacing w:after="0"/>
              <w:rPr>
                <w:sz w:val="20"/>
                <w:szCs w:val="20"/>
                <w:color w:val="auto"/>
              </w:rPr>
            </w:pPr>
            <w:r>
              <w:rPr>
                <w:rFonts w:ascii="Arial" w:cs="Arial" w:eastAsia="Arial" w:hAnsi="Arial"/>
                <w:sz w:val="18"/>
                <w:szCs w:val="18"/>
                <w:color w:val="auto"/>
                <w:w w:val="99"/>
              </w:rPr>
              <w:t>% of the combined voting power of our common stock (or</w:t>
            </w:r>
          </w:p>
        </w:tc>
        <w:tc>
          <w:tcPr>
            <w:tcW w:w="1480" w:type="dxa"/>
            <w:vAlign w:val="bottom"/>
          </w:tcPr>
          <w:p>
            <w:pPr>
              <w:ind w:left="360"/>
              <w:spacing w:after="0"/>
              <w:rPr>
                <w:sz w:val="20"/>
                <w:szCs w:val="20"/>
                <w:color w:val="auto"/>
              </w:rPr>
            </w:pPr>
            <w:r>
              <w:rPr>
                <w:rFonts w:ascii="Arial" w:cs="Arial" w:eastAsia="Arial" w:hAnsi="Arial"/>
                <w:sz w:val="18"/>
                <w:szCs w:val="18"/>
                <w:color w:val="auto"/>
              </w:rPr>
              <w:t>shares and</w:t>
            </w:r>
          </w:p>
        </w:tc>
        <w:tc>
          <w:tcPr>
            <w:tcW w:w="2160" w:type="dxa"/>
            <w:vAlign w:val="bottom"/>
            <w:gridSpan w:val="2"/>
          </w:tcPr>
          <w:p>
            <w:pPr>
              <w:ind w:left="360"/>
              <w:spacing w:after="0"/>
              <w:rPr>
                <w:sz w:val="20"/>
                <w:szCs w:val="20"/>
                <w:color w:val="auto"/>
              </w:rPr>
            </w:pPr>
            <w:r>
              <w:rPr>
                <w:rFonts w:ascii="Arial" w:cs="Arial" w:eastAsia="Arial" w:hAnsi="Arial"/>
                <w:sz w:val="18"/>
                <w:szCs w:val="18"/>
                <w:color w:val="auto"/>
              </w:rPr>
              <w:t>%, respectively, if the</w:t>
            </w:r>
          </w:p>
        </w:tc>
      </w:tr>
      <w:tr>
        <w:trPr>
          <w:trHeight w:val="216"/>
        </w:trPr>
        <w:tc>
          <w:tcPr>
            <w:tcW w:w="840" w:type="dxa"/>
            <w:vAlign w:val="bottom"/>
          </w:tcPr>
          <w:p>
            <w:pPr>
              <w:spacing w:after="0"/>
              <w:rPr>
                <w:sz w:val="18"/>
                <w:szCs w:val="18"/>
                <w:color w:val="auto"/>
              </w:rPr>
            </w:pPr>
          </w:p>
        </w:tc>
        <w:tc>
          <w:tcPr>
            <w:tcW w:w="10200" w:type="dxa"/>
            <w:vAlign w:val="bottom"/>
            <w:gridSpan w:val="7"/>
          </w:tcPr>
          <w:p>
            <w:pPr>
              <w:ind w:left="240"/>
              <w:spacing w:after="0"/>
              <w:rPr>
                <w:sz w:val="20"/>
                <w:szCs w:val="20"/>
                <w:color w:val="auto"/>
              </w:rPr>
            </w:pPr>
            <w:r>
              <w:rPr>
                <w:rFonts w:ascii="Arial" w:cs="Arial" w:eastAsia="Arial" w:hAnsi="Arial"/>
                <w:sz w:val="18"/>
                <w:szCs w:val="18"/>
                <w:color w:val="auto"/>
                <w:w w:val="92"/>
              </w:rPr>
              <w:t>underwriters exercise their option to purchase additional shares of Class A common stock in full) and (ii) through our direct and indirect</w:t>
            </w:r>
          </w:p>
        </w:tc>
      </w:tr>
      <w:tr>
        <w:trPr>
          <w:trHeight w:val="216"/>
        </w:trPr>
        <w:tc>
          <w:tcPr>
            <w:tcW w:w="840" w:type="dxa"/>
            <w:vAlign w:val="bottom"/>
          </w:tcPr>
          <w:p>
            <w:pPr>
              <w:spacing w:after="0"/>
              <w:rPr>
                <w:sz w:val="18"/>
                <w:szCs w:val="18"/>
                <w:color w:val="auto"/>
              </w:rPr>
            </w:pPr>
          </w:p>
        </w:tc>
        <w:tc>
          <w:tcPr>
            <w:tcW w:w="4980" w:type="dxa"/>
            <w:vAlign w:val="bottom"/>
            <w:gridSpan w:val="3"/>
          </w:tcPr>
          <w:p>
            <w:pPr>
              <w:ind w:left="240"/>
              <w:spacing w:after="0"/>
              <w:rPr>
                <w:sz w:val="20"/>
                <w:szCs w:val="20"/>
                <w:color w:val="auto"/>
              </w:rPr>
            </w:pPr>
            <w:r>
              <w:rPr>
                <w:rFonts w:ascii="Arial" w:cs="Arial" w:eastAsia="Arial" w:hAnsi="Arial"/>
                <w:sz w:val="18"/>
                <w:szCs w:val="18"/>
                <w:color w:val="auto"/>
              </w:rPr>
              <w:t>ownership of LLC Units, indirectly will hold approximately</w:t>
            </w:r>
          </w:p>
        </w:tc>
        <w:tc>
          <w:tcPr>
            <w:tcW w:w="4340" w:type="dxa"/>
            <w:vAlign w:val="bottom"/>
            <w:gridSpan w:val="3"/>
          </w:tcPr>
          <w:p>
            <w:pPr>
              <w:ind w:left="300"/>
              <w:spacing w:after="0"/>
              <w:rPr>
                <w:sz w:val="20"/>
                <w:szCs w:val="20"/>
                <w:color w:val="auto"/>
              </w:rPr>
            </w:pPr>
            <w:r>
              <w:rPr>
                <w:rFonts w:ascii="Arial" w:cs="Arial" w:eastAsia="Arial" w:hAnsi="Arial"/>
                <w:sz w:val="18"/>
                <w:szCs w:val="18"/>
                <w:color w:val="auto"/>
              </w:rPr>
              <w:t>% of the economic interest in Definitive OpCo (or</w:t>
            </w:r>
          </w:p>
        </w:tc>
        <w:tc>
          <w:tcPr>
            <w:tcW w:w="880" w:type="dxa"/>
            <w:vAlign w:val="bottom"/>
          </w:tcPr>
          <w:p>
            <w:pPr>
              <w:ind w:left="300"/>
              <w:spacing w:after="0"/>
              <w:rPr>
                <w:sz w:val="20"/>
                <w:szCs w:val="20"/>
                <w:color w:val="auto"/>
              </w:rPr>
            </w:pPr>
            <w:r>
              <w:rPr>
                <w:rFonts w:ascii="Arial" w:cs="Arial" w:eastAsia="Arial" w:hAnsi="Arial"/>
                <w:sz w:val="18"/>
                <w:szCs w:val="18"/>
                <w:color w:val="auto"/>
                <w:w w:val="93"/>
              </w:rPr>
              <w:t>% if the</w:t>
            </w:r>
          </w:p>
        </w:tc>
      </w:tr>
      <w:tr>
        <w:trPr>
          <w:trHeight w:val="230"/>
        </w:trPr>
        <w:tc>
          <w:tcPr>
            <w:tcW w:w="840" w:type="dxa"/>
            <w:vAlign w:val="bottom"/>
          </w:tcPr>
          <w:p>
            <w:pPr>
              <w:spacing w:after="0"/>
              <w:rPr>
                <w:sz w:val="20"/>
                <w:szCs w:val="20"/>
                <w:color w:val="auto"/>
              </w:rPr>
            </w:pPr>
          </w:p>
        </w:tc>
        <w:tc>
          <w:tcPr>
            <w:tcW w:w="8040" w:type="dxa"/>
            <w:vAlign w:val="bottom"/>
            <w:gridSpan w:val="5"/>
          </w:tcPr>
          <w:p>
            <w:pPr>
              <w:ind w:left="240"/>
              <w:spacing w:after="0"/>
              <w:rPr>
                <w:sz w:val="20"/>
                <w:szCs w:val="20"/>
                <w:color w:val="auto"/>
              </w:rPr>
            </w:pPr>
            <w:r>
              <w:rPr>
                <w:rFonts w:ascii="Arial" w:cs="Arial" w:eastAsia="Arial" w:hAnsi="Arial"/>
                <w:sz w:val="18"/>
                <w:szCs w:val="18"/>
                <w:color w:val="auto"/>
              </w:rPr>
              <w:t>underwriters exercise their option to purchase additional shares of Class A common stock in full).</w:t>
            </w: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Holding Company Structure and the Tax Receivable Agreements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are a holding company, and immediately after the consummation of the Reorganization Transactions and this offering, our sole material asset will be our ownership interests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holders of our Class B common stock at any given time will equal the sum of the outstanding shares of all classes of our common stock.</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intend to list our Class B common stock on any stock exchange.</w:t>
      </w:r>
    </w:p>
    <w:p>
      <w:pPr>
        <w:spacing w:after="0" w:line="22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will acquire certain favorable tax attributes from the Blocker Companies in the Mergers. In addition, acquisitions by us of LLC Units from Continuing Pre-IPO LLC Members in connection with future redemptions or exchanges by the Continuing Pre-IPO LLC Members of LLC Units for shares of our Class A common stock or cash, and other transactions described herein are expected to 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intend to enter into one or more Tax Receivable Agreements with the TRA Parties. Under the Tax Receivable Agreements,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and its subsidiaries by the Blocker Companies, (ii) tax basis adjustments resulting from future redemptions or exchanges of LLC Units by Continuing Pre-IPO LLC Members for cash or Class A common stock and (iii) certain payments made under the Tax Receivable Agreements.</w:t>
      </w:r>
    </w:p>
    <w:p>
      <w:pPr>
        <w:spacing w:after="0" w:line="177" w:lineRule="exact"/>
        <w:rPr>
          <w:sz w:val="20"/>
          <w:szCs w:val="20"/>
          <w:color w:val="auto"/>
        </w:rPr>
      </w:pPr>
    </w:p>
    <w:p>
      <w:pPr>
        <w:ind w:left="120" w:right="400" w:firstLine="440"/>
        <w:spacing w:after="0" w:line="274" w:lineRule="auto"/>
        <w:rPr>
          <w:sz w:val="20"/>
          <w:szCs w:val="20"/>
          <w:color w:val="auto"/>
        </w:rPr>
      </w:pPr>
      <w:r>
        <w:rPr>
          <w:rFonts w:ascii="Arial" w:cs="Arial" w:eastAsia="Arial" w:hAnsi="Arial"/>
          <w:sz w:val="17"/>
          <w:szCs w:val="17"/>
          <w:color w:val="auto"/>
        </w:rPr>
        <w:t>The tax attributes available to us as a result of the Mergers are expected to result in tax savings of approximately $ . We would be required to pay the TRA Parties approximately 85% of such amount, or $ , over the 15-year period from the date of the completion of this</w:t>
      </w:r>
    </w:p>
    <w:p>
      <w:pPr>
        <w:ind w:left="120" w:right="120"/>
        <w:spacing w:after="0" w:line="281" w:lineRule="auto"/>
        <w:rPr>
          <w:sz w:val="20"/>
          <w:szCs w:val="20"/>
          <w:color w:val="auto"/>
        </w:rPr>
      </w:pPr>
      <w:r>
        <w:rPr>
          <w:rFonts w:ascii="Arial" w:cs="Arial" w:eastAsia="Arial" w:hAnsi="Arial"/>
          <w:sz w:val="16"/>
          <w:szCs w:val="16"/>
          <w:color w:val="auto"/>
        </w:rPr>
        <w:t>offering. Further, assuming no material changes in relevant tax law and that we earn sufficient taxable income to realize all tax benefits that are subject to the Tax Receivable Agreements, we expect that the tax savings associated with all tax attributes described above would aggregate to approximately</w:t>
      </w:r>
    </w:p>
    <w:p>
      <w:pPr>
        <w:spacing w:after="0" w:line="1"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 over 15 years from the date of the completion of this offering, based on an assumed initial public offering price of $ per share of Class A common stock, the midpoint of the estimated price range set forth on the cover page of this prospectus and assuming all future redemptions or exchanges would occur on the date of this offering. Under this scenario, we would be required to pay the TRA Parties approximately 85% of such</w:t>
      </w:r>
    </w:p>
    <w:p>
      <w:pPr>
        <w:spacing w:after="0" w:line="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amount, or $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redemption or exchange of an LLC Unit for cash or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46"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share of Class A common stock and the prevailing applicable federal tax rate (plus the assumed combined state and local tax rate) applicable to us over the life of the Tax Receivable Agreements and will depend on our generating sufficient taxable income to realize the tax benefits that are subject to the Tax Receivable Agreements.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Payments under the Tax Receivable Agreements will be based on the tax reporting positions we determine, and the IRS or another taxing authority may challenge all or part of the deductions, tax basis increases, net operating losses or other tax attributes subject to the Tax Receivable Agreements, and a court could sustain such challenge. Payments we will be required to make under the Tax Receivable Agreements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challenged by a taxing authority and are ultimately disallowed, except that any excess payments made to a TRA Party will be netted against future payments otherwise to be made to such TRA Party under the Tax Receivable Agreements, if any, after our determination of such excess. As a result, in such circumstances we could make future payments under the Tax Receivable Agreements that are greater than our actual cash tax savings and may not be able to recoup those payments, which could negatively impact our liquidity. See “Risk Factors— Risks Related to Our Organizational Structure—We will not be reimbursed for any payments made to the TRA Parties under the Tax Receivable Agreements in the event that any tax benefits are disallowed.”</w:t>
      </w:r>
    </w:p>
    <w:p>
      <w:pPr>
        <w:spacing w:after="0" w:line="18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obligations under the Tax Receivable Agreements will also apply with respect to any person who is issued LLC Units in the future and who becomes a party to the Tax Receivable Agreements.</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a holding company with no operations of our own and our ability to make payments under the Tax Receivable Agreements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Agreements for any reason, such payments generally will be deferred and will accrue interest until paid; provided, however, that nonpayment for a specified period may constitute a breach of a material obligation under the Tax Receivable Agreements and therefore accelerate payments due under the Tax Receivable Agreements, which could negatively impact our results of operations and could also affect our liquidity in periods in which such payments are made.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tabs>
          <w:tab w:leader="none" w:pos="5300" w:val="left"/>
        </w:tabs>
        <w:rPr>
          <w:sz w:val="20"/>
          <w:szCs w:val="20"/>
          <w:color w:val="auto"/>
        </w:rPr>
      </w:pPr>
      <w:r>
        <w:rPr>
          <w:rFonts w:ascii="Arial" w:cs="Arial" w:eastAsia="Arial" w:hAnsi="Arial"/>
          <w:sz w:val="18"/>
          <w:szCs w:val="18"/>
          <w:color w:val="auto"/>
        </w:rPr>
        <w:t>We estimate that the net proceeds to us from our sale of</w:t>
      </w:r>
      <w:r>
        <w:rPr>
          <w:sz w:val="20"/>
          <w:szCs w:val="20"/>
          <w:color w:val="auto"/>
        </w:rPr>
        <w:tab/>
      </w:r>
      <w:r>
        <w:rPr>
          <w:rFonts w:ascii="Arial" w:cs="Arial" w:eastAsia="Arial" w:hAnsi="Arial"/>
          <w:sz w:val="16"/>
          <w:szCs w:val="16"/>
          <w:color w:val="auto"/>
        </w:rPr>
        <w:t>shares of Class A common stock in this offering will be approximately</w:t>
      </w:r>
    </w:p>
    <w:p>
      <w:pPr>
        <w:spacing w:after="0" w:line="2" w:lineRule="exact"/>
        <w:rPr>
          <w:sz w:val="20"/>
          <w:szCs w:val="20"/>
          <w:color w:val="auto"/>
        </w:rPr>
      </w:pPr>
    </w:p>
    <w:p>
      <w:pPr>
        <w:ind w:left="980" w:hanging="864"/>
        <w:spacing w:after="0"/>
        <w:tabs>
          <w:tab w:leader="none" w:pos="980" w:val="left"/>
        </w:tabs>
        <w:numPr>
          <w:ilvl w:val="0"/>
          <w:numId w:val="57"/>
        </w:numPr>
        <w:rPr>
          <w:rFonts w:ascii="Arial" w:cs="Arial" w:eastAsia="Arial" w:hAnsi="Arial"/>
          <w:sz w:val="2"/>
          <w:szCs w:val="2"/>
          <w:color w:val="auto"/>
        </w:rPr>
      </w:pPr>
      <w:r>
        <w:rPr>
          <w:rFonts w:ascii="Arial" w:cs="Arial" w:eastAsia="Arial" w:hAnsi="Arial"/>
          <w:sz w:val="2"/>
          <w:szCs w:val="2"/>
          <w:color w:val="auto"/>
        </w:rPr>
        <w:t>million, after deducting underwriting discounts and commissions and estimated expenses payable by us in connection with this offering. The</w:t>
      </w:r>
    </w:p>
    <w:p>
      <w:pPr>
        <w:spacing w:after="0" w:line="200"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underwriters also have an option to purchase up to an additional shares of Class A common stock from us. We estimate that the net proceeds to us, if the underwriters exercise their right to purchase the maximum of additional shares of Class A common stock from us, will be approximately $ million, after deducting underwriting discounts and commissions and estimated expenses payable by us in connection with this offering. This assumes a public offering price of $ per share, which is the midpoint of the price range set forth on the cover of this prospectus.</w:t>
      </w:r>
    </w:p>
    <w:p>
      <w:pPr>
        <w:sectPr>
          <w:pgSz w:w="11900" w:h="16838" w:orient="portrait"/>
          <w:cols w:equalWidth="0" w:num="1">
            <w:col w:w="11100"/>
          </w:cols>
          <w:pgMar w:left="320" w:top="459" w:right="479" w:bottom="1440" w:gutter="0" w:footer="0" w:header="0"/>
        </w:sectPr>
      </w:pP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estimate that the offering expenses (other than the underwriting discount and commissions) will be approximately $ such offering expenses will be paid for or otherwise borne by Definitive OpCo.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million. All of</w:t>
      </w:r>
    </w:p>
    <w:p>
      <w:pPr>
        <w:spacing w:after="0" w:line="440" w:lineRule="exact"/>
        <w:rPr>
          <w:sz w:val="20"/>
          <w:szCs w:val="20"/>
          <w:color w:val="auto"/>
        </w:rPr>
      </w:pPr>
    </w:p>
    <w:p>
      <w:pPr>
        <w:sectPr>
          <w:pgSz w:w="11900" w:h="16838" w:orient="portrait"/>
          <w:cols w:equalWidth="0" w:num="2">
            <w:col w:w="9160" w:space="720"/>
            <w:col w:w="1220"/>
          </w:cols>
          <w:pgMar w:left="320" w:top="459" w:right="479" w:bottom="1440" w:gutter="0" w:footer="0" w:header="0"/>
          <w:type w:val="continuous"/>
        </w:sectPr>
      </w:pPr>
    </w:p>
    <w:p>
      <w:pPr>
        <w:ind w:left="560"/>
        <w:spacing w:after="0"/>
        <w:tabs>
          <w:tab w:leader="none" w:pos="5860" w:val="left"/>
          <w:tab w:leader="none" w:pos="8580" w:val="left"/>
        </w:tabs>
        <w:rPr>
          <w:sz w:val="20"/>
          <w:szCs w:val="20"/>
          <w:color w:val="auto"/>
        </w:rPr>
      </w:pPr>
      <w:r>
        <w:rPr>
          <w:rFonts w:ascii="Arial" w:cs="Arial" w:eastAsia="Arial" w:hAnsi="Arial"/>
          <w:sz w:val="18"/>
          <w:szCs w:val="18"/>
          <w:color w:val="auto"/>
        </w:rPr>
        <w:t>We intend to use the net proceeds from this offering to purchase</w:t>
      </w:r>
      <w:r>
        <w:rPr>
          <w:sz w:val="20"/>
          <w:szCs w:val="20"/>
          <w:color w:val="auto"/>
        </w:rPr>
        <w:tab/>
      </w:r>
      <w:r>
        <w:rPr>
          <w:rFonts w:ascii="Arial" w:cs="Arial" w:eastAsia="Arial" w:hAnsi="Arial"/>
          <w:sz w:val="18"/>
          <w:szCs w:val="18"/>
          <w:color w:val="auto"/>
        </w:rPr>
        <w:t>newly issued LLC Units (or</w:t>
      </w:r>
      <w:r>
        <w:rPr>
          <w:sz w:val="20"/>
          <w:szCs w:val="20"/>
          <w:color w:val="auto"/>
        </w:rPr>
        <w:tab/>
      </w:r>
      <w:r>
        <w:rPr>
          <w:rFonts w:ascii="Arial" w:cs="Arial" w:eastAsia="Arial" w:hAnsi="Arial"/>
          <w:sz w:val="17"/>
          <w:szCs w:val="17"/>
          <w:color w:val="auto"/>
        </w:rPr>
        <w:t>LLC Units, if the underwriters</w:t>
      </w:r>
    </w:p>
    <w:p>
      <w:pPr>
        <w:sectPr>
          <w:pgSz w:w="11900" w:h="16838" w:orient="portrait"/>
          <w:cols w:equalWidth="0" w:num="1">
            <w:col w:w="11100"/>
          </w:cols>
          <w:pgMar w:left="320" w:top="459" w:right="479" w:bottom="1440" w:gutter="0" w:footer="0" w:header="0"/>
          <w:type w:val="continuous"/>
        </w:sectPr>
      </w:pPr>
    </w:p>
    <w:p>
      <w:pPr>
        <w:spacing w:after="0" w:line="23"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exercise their over-allotment option to purchase additional shares of Class A common stock in full) from Definitive OpCo. The foregoing purchases of LLC Units will be at a price per unit equal to the public offering price per share of Class A common stock in this offering, less the underwriting discount.</w:t>
      </w:r>
    </w:p>
    <w:p>
      <w:pPr>
        <w:spacing w:after="0" w:line="190"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Definitive OpCo, LLC currently intends to use the net proceeds from this offering to repay outstanding borrowings under our Senior Credit Facilities (as defined herein), and for general corporate purposes. Our Senior Credit Facilities are comprised of our Term Loan Facility and our Revolving Credit Facility (each as defined herein). The Term Loans (as defined herein) mature on July 16, 2026 and the Initial Revolving Loans (as defined herein) mature on July 16, 2024. As of May 25, 2021 the Term Loans bear interest at a rate of 6.5% and there is no balance on our Initial Revolving Loans.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underwriters exercise their option to purchase additional shares of Class A common stock in full, we estimate that our additional net</w:t>
      </w:r>
    </w:p>
    <w:p>
      <w:pPr>
        <w:spacing w:after="0" w:line="35"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proceeds will be approximately $ million. We will use the additional net proceeds we receive pursuant to any exercise of the underwriters’ option to purchase additional shares of Class A common stock to purchase additional LLC Units from Definitive OpCo to maintain the one-to-one ratio between the number of shares of Class A common stock issued by us and the number of LLC Units owned by us. We intend to cause Definitive OpCo to use such additional proceeds it receives to repay outstanding borrowings under our Senior Credit Facilities and for general corporate purposes.</w:t>
      </w:r>
    </w:p>
    <w:p>
      <w:pPr>
        <w:spacing w:after="0" w:line="161"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the amount of proceeds to us from this offering available by approximately $ million, assuming the number of shares offered by us, as set forth on the cover page of</w:t>
      </w:r>
    </w:p>
    <w:p>
      <w:pPr>
        <w:ind w:left="120" w:right="180"/>
        <w:spacing w:after="0" w:line="187" w:lineRule="auto"/>
        <w:rPr>
          <w:sz w:val="20"/>
          <w:szCs w:val="20"/>
          <w:color w:val="auto"/>
        </w:rPr>
      </w:pPr>
      <w:r>
        <w:rPr>
          <w:rFonts w:ascii="Arial" w:cs="Arial" w:eastAsia="Arial" w:hAnsi="Arial"/>
          <w:sz w:val="16"/>
          <w:szCs w:val="16"/>
          <w:color w:val="auto"/>
        </w:rPr>
        <w:t>this prospectus, remains the same, and after deducting the estimated underwriting discounts and commissions. An increase (decrease) of 1,000,000 shares from the expected number of shares to be sold by us in this offering, assuming no change in the assumed initial public offering price per share, the midpoint of the estimated offering price range shown on the cover page of this prospectus, would increase (decrease) the amount of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tabs>
          <w:tab w:leader="none" w:pos="4240" w:val="left"/>
        </w:tabs>
        <w:rPr>
          <w:sz w:val="20"/>
          <w:szCs w:val="20"/>
          <w:color w:val="auto"/>
        </w:rPr>
      </w:pPr>
      <w:r>
        <w:rPr>
          <w:rFonts w:ascii="Arial" w:cs="Arial" w:eastAsia="Arial" w:hAnsi="Arial"/>
          <w:sz w:val="18"/>
          <w:szCs w:val="18"/>
          <w:color w:val="auto"/>
        </w:rPr>
        <w:t>from this offering available by approximately $</w:t>
      </w:r>
      <w:r>
        <w:rPr>
          <w:sz w:val="20"/>
          <w:szCs w:val="20"/>
          <w:color w:val="auto"/>
        </w:rPr>
        <w:tab/>
      </w:r>
      <w:r>
        <w:rPr>
          <w:rFonts w:ascii="Arial" w:cs="Arial" w:eastAsia="Arial" w:hAnsi="Arial"/>
          <w:sz w:val="18"/>
          <w:szCs w:val="18"/>
          <w:color w:val="auto"/>
        </w:rPr>
        <w:t>million.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8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If Definitive OpCo makes such distributions, the holders of LLC Units will be entitled to receive equivalent distributions from Definitive OpCo. However, because we must pay taxes, make payments under the Tax Receivable Agreements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Transactions—Tax Receivable Agreements.”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Assuming Definitive OpCo makes distributions to its members in any given year, the determination to pay dividends, if any, to our Class A common stockholders out of the portion, if any, of such distributions remaining after our payment of taxes, Tax Receivable Agreements payments and expenses (any such portion, an “excess distribution”) will be made by our board of directors. Because our board of directors may determine to pay or not pay dividends to our Class A common stockholders, our Class A common stockholders may not necessarily receive dividend distributions relating to excess distributions, even if Definitive OpCo makes such distributions to us.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In 2020 and 2019, Definitive OpCo made cash distributions to its equity holders in aggregate amounts of $2.9 million and $7.0 million, respectively, in connection with equity holder tax obligations.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See “Risk Factors—Risks Related to this Offering and Ownership of Our Class A Common Stock—We do not anticipate paying any dividends on our Class A common stock in the foreseeable future,” “Organizational Structure,” “Management’s Discussion and Analysis of Financial Condition and Results of Operations—Liquidity and Capital Resources,” “Description of Material Indebtedness” and “Description of Capital Stock.”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tabs>
          <w:tab w:leader="none" w:pos="7560" w:val="left"/>
        </w:tabs>
        <w:rPr>
          <w:sz w:val="20"/>
          <w:szCs w:val="20"/>
          <w:color w:val="auto"/>
        </w:rPr>
      </w:pPr>
      <w:r>
        <w:rPr>
          <w:rFonts w:ascii="Arial" w:cs="Arial" w:eastAsia="Arial" w:hAnsi="Arial"/>
          <w:sz w:val="18"/>
          <w:szCs w:val="18"/>
          <w:color w:val="auto"/>
        </w:rPr>
        <w:t>The following table sets forth our cash and cash equivalents and our capitalization as of</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actual basis for Definitive OpCo;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as adjusted basis to reflect the Reorganization Transactions;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on a pro forma basis after giving effect to the Offering Adjustments described under “Unaudited pro forma consolidated financial</w:t>
      </w:r>
    </w:p>
    <w:p>
      <w:pPr>
        <w:spacing w:after="0" w:line="35" w:lineRule="exact"/>
        <w:rPr>
          <w:sz w:val="20"/>
          <w:szCs w:val="20"/>
          <w:color w:val="auto"/>
        </w:rPr>
      </w:pPr>
    </w:p>
    <w:p>
      <w:pPr>
        <w:ind w:left="1080"/>
        <w:spacing w:after="0"/>
        <w:tabs>
          <w:tab w:leader="none" w:pos="4280" w:val="left"/>
        </w:tabs>
        <w:rPr>
          <w:sz w:val="20"/>
          <w:szCs w:val="20"/>
          <w:color w:val="auto"/>
        </w:rPr>
      </w:pPr>
      <w:r>
        <w:rPr>
          <w:rFonts w:ascii="Arial" w:cs="Arial" w:eastAsia="Arial" w:hAnsi="Arial"/>
          <w:sz w:val="18"/>
          <w:szCs w:val="18"/>
          <w:color w:val="auto"/>
        </w:rPr>
        <w:t>information,” including the sale of</w:t>
      </w:r>
      <w:r>
        <w:rPr>
          <w:sz w:val="20"/>
          <w:szCs w:val="20"/>
          <w:color w:val="auto"/>
        </w:rPr>
        <w:tab/>
      </w:r>
      <w:r>
        <w:rPr>
          <w:rFonts w:ascii="Arial" w:cs="Arial" w:eastAsia="Arial" w:hAnsi="Arial"/>
          <w:sz w:val="16"/>
          <w:szCs w:val="16"/>
          <w:color w:val="auto"/>
        </w:rPr>
        <w:t>shares of our Class A common stock in this offering at an assumed public offering price of</w:t>
      </w:r>
    </w:p>
    <w:p>
      <w:pPr>
        <w:spacing w:after="0" w:line="9" w:lineRule="exact"/>
        <w:rPr>
          <w:sz w:val="20"/>
          <w:szCs w:val="20"/>
          <w:color w:val="auto"/>
        </w:rPr>
      </w:pPr>
    </w:p>
    <w:p>
      <w:pPr>
        <w:ind w:left="1080" w:right="500" w:firstLine="8"/>
        <w:spacing w:after="0" w:line="260" w:lineRule="auto"/>
        <w:tabs>
          <w:tab w:leader="none" w:pos="19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of this prospectus, and the application of the net proceeds received by us from this offering as described under “Use of Proceeds.”</w:t>
      </w:r>
    </w:p>
    <w:p>
      <w:pPr>
        <w:spacing w:after="0" w:line="18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This table should be read in conjunction with “Use of Proceeds,” “Unaudited Pro Forma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20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Definitive OpCo</w:t>
      </w:r>
    </w:p>
    <w:p>
      <w:pPr>
        <w:jc w:val="center"/>
        <w:ind w:left="7700"/>
        <w:spacing w:after="0" w:line="226" w:lineRule="auto"/>
        <w:rPr>
          <w:sz w:val="20"/>
          <w:szCs w:val="20"/>
          <w:color w:val="auto"/>
        </w:rPr>
      </w:pPr>
      <w:r>
        <w:rPr>
          <w:rFonts w:ascii="Arial" w:cs="Arial" w:eastAsia="Arial" w:hAnsi="Arial"/>
          <w:sz w:val="14"/>
          <w:szCs w:val="14"/>
          <w:b w:val="1"/>
          <w:bCs w:val="1"/>
          <w:color w:val="auto"/>
        </w:rPr>
        <w:t>(AIDH TopCo, LLC)</w:t>
      </w:r>
    </w:p>
    <w:p>
      <w:pPr>
        <w:jc w:val="center"/>
        <w:ind w:left="7720"/>
        <w:spacing w:after="0" w:line="232" w:lineRule="auto"/>
        <w:rPr>
          <w:sz w:val="20"/>
          <w:szCs w:val="20"/>
          <w:color w:val="auto"/>
        </w:rPr>
      </w:pPr>
      <w:r>
        <w:rPr>
          <w:rFonts w:ascii="Arial" w:cs="Arial" w:eastAsia="Arial" w:hAnsi="Arial"/>
          <w:sz w:val="14"/>
          <w:szCs w:val="14"/>
          <w:b w:val="1"/>
          <w:bCs w:val="1"/>
          <w:color w:val="auto"/>
        </w:rPr>
        <w:t>(Successor Organization)</w:t>
      </w:r>
    </w:p>
    <w:tbl>
      <w:tblPr>
        <w:tblLayout w:type="fixed"/>
        <w:tblInd w:w="120" w:type="dxa"/>
        <w:tblCellMar>
          <w:top w:w="0" w:type="dxa"/>
          <w:left w:w="0" w:type="dxa"/>
          <w:bottom w:w="0" w:type="dxa"/>
          <w:right w:w="0" w:type="dxa"/>
        </w:tblCellMar>
      </w:tblPr>
      <w:tr>
        <w:trPr>
          <w:trHeight w:val="142"/>
        </w:trPr>
        <w:tc>
          <w:tcPr>
            <w:tcW w:w="77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020" w:type="dxa"/>
            <w:vAlign w:val="bottom"/>
            <w:tcBorders>
              <w:top w:val="single" w:sz="8" w:color="auto"/>
              <w:bottom w:val="single" w:sz="8" w:color="auto"/>
            </w:tcBorders>
            <w:gridSpan w:val="7"/>
          </w:tcPr>
          <w:p>
            <w:pPr>
              <w:jc w:val="center"/>
              <w:ind w:right="108"/>
              <w:spacing w:after="0" w:line="142" w:lineRule="exact"/>
              <w:rPr>
                <w:sz w:val="20"/>
                <w:szCs w:val="20"/>
                <w:color w:val="auto"/>
              </w:rPr>
            </w:pPr>
            <w:r>
              <w:rPr>
                <w:rFonts w:ascii="Arial" w:cs="Arial" w:eastAsia="Arial" w:hAnsi="Arial"/>
                <w:sz w:val="14"/>
                <w:szCs w:val="14"/>
                <w:b w:val="1"/>
                <w:bCs w:val="1"/>
                <w:color w:val="auto"/>
                <w:w w:val="92"/>
              </w:rPr>
              <w:t>As of December 31,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As</w:t>
            </w:r>
          </w:p>
        </w:tc>
        <w:tc>
          <w:tcPr>
            <w:tcW w:w="140" w:type="dxa"/>
            <w:vAlign w:val="bottom"/>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 (1)</w:t>
            </w:r>
          </w:p>
        </w:tc>
        <w:tc>
          <w:tcPr>
            <w:tcW w:w="0" w:type="dxa"/>
            <w:vAlign w:val="bottom"/>
          </w:tcPr>
          <w:p>
            <w:pPr>
              <w:spacing w:after="0"/>
              <w:rPr>
                <w:sz w:val="1"/>
                <w:szCs w:val="1"/>
                <w:color w:val="auto"/>
              </w:rPr>
            </w:pPr>
          </w:p>
        </w:tc>
      </w:tr>
      <w:tr>
        <w:trPr>
          <w:trHeight w:val="171"/>
        </w:trPr>
        <w:tc>
          <w:tcPr>
            <w:tcW w:w="77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24,774</w:t>
            </w:r>
          </w:p>
        </w:tc>
        <w:tc>
          <w:tcPr>
            <w:tcW w:w="920" w:type="dxa"/>
            <w:vAlign w:val="bottom"/>
            <w:gridSpan w:val="2"/>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Initial Term Loan Facility</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433,510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Paid in kind interest on Initial Term Loan Facility</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10,412</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Delayed Draw Term Facility</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17,955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color w:val="auto"/>
              </w:rPr>
              <w:t>Total Debt (2)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461,877</w:t>
            </w:r>
          </w:p>
        </w:tc>
        <w:tc>
          <w:tcPr>
            <w:tcW w:w="140" w:type="dxa"/>
            <w:vAlign w:val="bottom"/>
          </w:tcPr>
          <w:p>
            <w:pPr>
              <w:spacing w:after="0"/>
              <w:rPr>
                <w:sz w:val="19"/>
                <w:szCs w:val="19"/>
                <w:color w:val="auto"/>
              </w:rPr>
            </w:pPr>
          </w:p>
        </w:tc>
        <w:tc>
          <w:tcPr>
            <w:tcW w:w="920" w:type="dxa"/>
            <w:vAlign w:val="bottom"/>
            <w:gridSpan w:val="2"/>
          </w:tcPr>
          <w:p>
            <w:pPr>
              <w:jc w:val="right"/>
              <w:ind w:right="5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457,197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1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02"/>
        </w:trPr>
        <w:tc>
          <w:tcPr>
            <w:tcW w:w="43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Class A common stock, $0.001 par value per</w:t>
            </w:r>
          </w:p>
        </w:tc>
        <w:tc>
          <w:tcPr>
            <w:tcW w:w="620" w:type="dxa"/>
            <w:vAlign w:val="bottom"/>
          </w:tcPr>
          <w:p>
            <w:pPr>
              <w:ind w:left="60"/>
              <w:spacing w:after="0" w:line="201" w:lineRule="exact"/>
              <w:rPr>
                <w:sz w:val="20"/>
                <w:szCs w:val="20"/>
                <w:color w:val="auto"/>
              </w:rPr>
            </w:pPr>
            <w:r>
              <w:rPr>
                <w:rFonts w:ascii="Arial" w:cs="Arial" w:eastAsia="Arial" w:hAnsi="Arial"/>
                <w:sz w:val="18"/>
                <w:szCs w:val="18"/>
                <w:color w:val="auto"/>
              </w:rPr>
              <w:t>share,</w:t>
            </w:r>
          </w:p>
        </w:tc>
        <w:tc>
          <w:tcPr>
            <w:tcW w:w="408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gridSpan w:val="2"/>
          </w:tcPr>
          <w:p>
            <w:pPr>
              <w:ind w:left="360"/>
              <w:spacing w:after="0"/>
              <w:rPr>
                <w:sz w:val="20"/>
                <w:szCs w:val="20"/>
                <w:color w:val="auto"/>
              </w:rPr>
            </w:pPr>
            <w:r>
              <w:rPr>
                <w:rFonts w:ascii="Arial" w:cs="Arial" w:eastAsia="Arial" w:hAnsi="Arial"/>
                <w:sz w:val="18"/>
                <w:szCs w:val="18"/>
                <w:color w:val="auto"/>
                <w:w w:val="97"/>
              </w:rPr>
              <w:t>authorized, actual,</w:t>
            </w:r>
          </w:p>
        </w:tc>
        <w:tc>
          <w:tcPr>
            <w:tcW w:w="660" w:type="dxa"/>
            <w:vAlign w:val="bottom"/>
          </w:tcPr>
          <w:p>
            <w:pPr>
              <w:spacing w:after="0"/>
              <w:rPr>
                <w:sz w:val="18"/>
                <w:szCs w:val="18"/>
                <w:color w:val="auto"/>
              </w:rPr>
            </w:pPr>
          </w:p>
        </w:tc>
        <w:tc>
          <w:tcPr>
            <w:tcW w:w="1840" w:type="dxa"/>
            <w:vAlign w:val="bottom"/>
          </w:tcPr>
          <w:p>
            <w:pPr>
              <w:ind w:left="180"/>
              <w:spacing w:after="0"/>
              <w:rPr>
                <w:sz w:val="20"/>
                <w:szCs w:val="20"/>
                <w:color w:val="auto"/>
              </w:rPr>
            </w:pPr>
            <w:r>
              <w:rPr>
                <w:rFonts w:ascii="Arial" w:cs="Arial" w:eastAsia="Arial" w:hAnsi="Arial"/>
                <w:sz w:val="18"/>
                <w:szCs w:val="18"/>
                <w:color w:val="auto"/>
                <w:w w:val="93"/>
              </w:rPr>
              <w:t>authorized, pro forma,</w:t>
            </w:r>
          </w:p>
        </w:tc>
        <w:tc>
          <w:tcPr>
            <w:tcW w:w="620" w:type="dxa"/>
            <w:vAlign w:val="bottom"/>
          </w:tcPr>
          <w:p>
            <w:pPr>
              <w:spacing w:after="0"/>
              <w:rPr>
                <w:sz w:val="18"/>
                <w:szCs w:val="18"/>
                <w:color w:val="auto"/>
              </w:rPr>
            </w:pPr>
          </w:p>
        </w:tc>
        <w:tc>
          <w:tcPr>
            <w:tcW w:w="4080" w:type="dxa"/>
            <w:vAlign w:val="bottom"/>
            <w:gridSpan w:val="3"/>
          </w:tcPr>
          <w:p>
            <w:pPr>
              <w:ind w:left="320"/>
              <w:spacing w:after="0"/>
              <w:rPr>
                <w:sz w:val="20"/>
                <w:szCs w:val="20"/>
                <w:color w:val="auto"/>
              </w:rPr>
            </w:pPr>
            <w:r>
              <w:rPr>
                <w:rFonts w:ascii="Arial" w:cs="Arial" w:eastAsia="Arial" w:hAnsi="Arial"/>
                <w:sz w:val="18"/>
                <w:szCs w:val="18"/>
                <w:color w:val="auto"/>
              </w:rPr>
              <w:t>shares issued and outstanding,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820" w:type="dxa"/>
            <w:vAlign w:val="bottom"/>
            <w:gridSpan w:val="2"/>
          </w:tcPr>
          <w:p>
            <w:pPr>
              <w:ind w:left="360"/>
              <w:spacing w:after="0"/>
              <w:rPr>
                <w:sz w:val="20"/>
                <w:szCs w:val="20"/>
                <w:color w:val="auto"/>
              </w:rPr>
            </w:pPr>
            <w:r>
              <w:rPr>
                <w:rFonts w:ascii="Arial" w:cs="Arial" w:eastAsia="Arial" w:hAnsi="Arial"/>
                <w:sz w:val="18"/>
                <w:szCs w:val="18"/>
                <w:color w:val="auto"/>
              </w:rPr>
              <w:t>actual and</w:t>
            </w:r>
          </w:p>
        </w:tc>
        <w:tc>
          <w:tcPr>
            <w:tcW w:w="7200" w:type="dxa"/>
            <w:vAlign w:val="bottom"/>
            <w:gridSpan w:val="6"/>
          </w:tcPr>
          <w:p>
            <w:pPr>
              <w:ind w:left="260"/>
              <w:spacing w:after="0"/>
              <w:rPr>
                <w:sz w:val="20"/>
                <w:szCs w:val="20"/>
                <w:color w:val="auto"/>
              </w:rPr>
            </w:pPr>
            <w:r>
              <w:rPr>
                <w:rFonts w:ascii="Arial" w:cs="Arial" w:eastAsia="Arial" w:hAnsi="Arial"/>
                <w:sz w:val="18"/>
                <w:szCs w:val="18"/>
                <w:color w:val="auto"/>
              </w:rPr>
              <w:t>shares issued and outstanding, pro forma.</w:t>
            </w: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43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common stock $0.001 par value per</w:t>
            </w:r>
          </w:p>
        </w:tc>
        <w:tc>
          <w:tcPr>
            <w:tcW w:w="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share,</w:t>
            </w:r>
          </w:p>
        </w:tc>
        <w:tc>
          <w:tcPr>
            <w:tcW w:w="4080" w:type="dxa"/>
            <w:vAlign w:val="bottom"/>
            <w:gridSpan w:val="3"/>
            <w:shd w:val="clear" w:color="auto" w:fill="CCEEFF"/>
          </w:tcPr>
          <w:p>
            <w:pPr>
              <w:ind w:left="820"/>
              <w:spacing w:after="0" w:line="201" w:lineRule="exact"/>
              <w:rPr>
                <w:sz w:val="20"/>
                <w:szCs w:val="20"/>
                <w:color w:val="auto"/>
              </w:rPr>
            </w:pPr>
            <w:r>
              <w:rPr>
                <w:rFonts w:ascii="Arial" w:cs="Arial" w:eastAsia="Arial" w:hAnsi="Arial"/>
                <w:sz w:val="18"/>
                <w:szCs w:val="18"/>
                <w:color w:val="auto"/>
              </w:rPr>
              <w:t>shares</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authorized, actual,</w:t>
            </w: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authorized, pro forma,</w:t>
            </w:r>
          </w:p>
        </w:tc>
        <w:tc>
          <w:tcPr>
            <w:tcW w:w="62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shares issued and outstanding,</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actual and</w:t>
            </w:r>
          </w:p>
        </w:tc>
        <w:tc>
          <w:tcPr>
            <w:tcW w:w="720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pro forma.</w:t>
            </w: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48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Preferred common stock, $</w:t>
            </w:r>
          </w:p>
        </w:tc>
        <w:tc>
          <w:tcPr>
            <w:tcW w:w="1840" w:type="dxa"/>
            <w:vAlign w:val="bottom"/>
          </w:tcPr>
          <w:p>
            <w:pPr>
              <w:ind w:left="40"/>
              <w:spacing w:after="0" w:line="201" w:lineRule="exact"/>
              <w:rPr>
                <w:sz w:val="20"/>
                <w:szCs w:val="20"/>
                <w:color w:val="auto"/>
              </w:rPr>
            </w:pPr>
            <w:r>
              <w:rPr>
                <w:rFonts w:ascii="Arial" w:cs="Arial" w:eastAsia="Arial" w:hAnsi="Arial"/>
                <w:sz w:val="18"/>
                <w:szCs w:val="18"/>
                <w:color w:val="auto"/>
              </w:rPr>
              <w:t>par value per</w:t>
            </w:r>
          </w:p>
        </w:tc>
        <w:tc>
          <w:tcPr>
            <w:tcW w:w="620" w:type="dxa"/>
            <w:vAlign w:val="bottom"/>
          </w:tcPr>
          <w:p>
            <w:pPr>
              <w:ind w:left="140"/>
              <w:spacing w:after="0" w:line="201" w:lineRule="exact"/>
              <w:rPr>
                <w:sz w:val="20"/>
                <w:szCs w:val="20"/>
                <w:color w:val="auto"/>
              </w:rPr>
            </w:pPr>
            <w:r>
              <w:rPr>
                <w:rFonts w:ascii="Arial" w:cs="Arial" w:eastAsia="Arial" w:hAnsi="Arial"/>
                <w:sz w:val="18"/>
                <w:szCs w:val="18"/>
                <w:color w:val="auto"/>
                <w:w w:val="91"/>
              </w:rPr>
              <w:t>share,</w:t>
            </w:r>
          </w:p>
        </w:tc>
        <w:tc>
          <w:tcPr>
            <w:tcW w:w="4080" w:type="dxa"/>
            <w:vAlign w:val="bottom"/>
            <w:gridSpan w:val="3"/>
          </w:tcPr>
          <w:p>
            <w:pPr>
              <w:jc w:val="right"/>
              <w:ind w:right="1840"/>
              <w:spacing w:after="0" w:line="201" w:lineRule="exact"/>
              <w:rPr>
                <w:sz w:val="20"/>
                <w:szCs w:val="20"/>
                <w:color w:val="auto"/>
              </w:rPr>
            </w:pPr>
            <w:r>
              <w:rPr>
                <w:rFonts w:ascii="Arial" w:cs="Arial" w:eastAsia="Arial" w:hAnsi="Arial"/>
                <w:sz w:val="18"/>
                <w:szCs w:val="18"/>
                <w:color w:val="auto"/>
              </w:rPr>
              <w:t>shares authorized,</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gridSpan w:val="2"/>
          </w:tcPr>
          <w:p>
            <w:pPr>
              <w:ind w:left="360"/>
              <w:spacing w:after="0"/>
              <w:rPr>
                <w:sz w:val="20"/>
                <w:szCs w:val="20"/>
                <w:color w:val="auto"/>
              </w:rPr>
            </w:pPr>
            <w:r>
              <w:rPr>
                <w:rFonts w:ascii="Arial" w:cs="Arial" w:eastAsia="Arial" w:hAnsi="Arial"/>
                <w:sz w:val="18"/>
                <w:szCs w:val="18"/>
                <w:color w:val="auto"/>
              </w:rPr>
              <w:t>actual,</w:t>
            </w:r>
          </w:p>
        </w:tc>
        <w:tc>
          <w:tcPr>
            <w:tcW w:w="2500" w:type="dxa"/>
            <w:vAlign w:val="bottom"/>
            <w:gridSpan w:val="2"/>
          </w:tcPr>
          <w:p>
            <w:pPr>
              <w:spacing w:after="0"/>
              <w:rPr>
                <w:sz w:val="20"/>
                <w:szCs w:val="20"/>
                <w:color w:val="auto"/>
              </w:rPr>
            </w:pPr>
            <w:r>
              <w:rPr>
                <w:rFonts w:ascii="Arial" w:cs="Arial" w:eastAsia="Arial" w:hAnsi="Arial"/>
                <w:sz w:val="18"/>
                <w:szCs w:val="18"/>
                <w:color w:val="auto"/>
                <w:w w:val="99"/>
              </w:rPr>
              <w:t>shares authorized, as adjusted,</w:t>
            </w:r>
          </w:p>
        </w:tc>
        <w:tc>
          <w:tcPr>
            <w:tcW w:w="620" w:type="dxa"/>
            <w:vAlign w:val="bottom"/>
          </w:tcPr>
          <w:p>
            <w:pPr>
              <w:spacing w:after="0"/>
              <w:rPr>
                <w:sz w:val="18"/>
                <w:szCs w:val="18"/>
                <w:color w:val="auto"/>
              </w:rPr>
            </w:pPr>
          </w:p>
        </w:tc>
        <w:tc>
          <w:tcPr>
            <w:tcW w:w="4080" w:type="dxa"/>
            <w:vAlign w:val="bottom"/>
            <w:gridSpan w:val="3"/>
          </w:tcPr>
          <w:p>
            <w:pPr>
              <w:jc w:val="right"/>
              <w:ind w:right="1840"/>
              <w:spacing w:after="0"/>
              <w:rPr>
                <w:sz w:val="20"/>
                <w:szCs w:val="20"/>
                <w:color w:val="auto"/>
              </w:rPr>
            </w:pPr>
            <w:r>
              <w:rPr>
                <w:rFonts w:ascii="Arial" w:cs="Arial" w:eastAsia="Arial" w:hAnsi="Arial"/>
                <w:sz w:val="18"/>
                <w:szCs w:val="18"/>
                <w:color w:val="auto"/>
                <w:w w:val="89"/>
              </w:rPr>
              <w:t>shares issued and outstanding,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480" w:type="dxa"/>
            <w:vAlign w:val="bottom"/>
            <w:gridSpan w:val="3"/>
          </w:tcPr>
          <w:p>
            <w:pPr>
              <w:ind w:left="360"/>
              <w:spacing w:after="0"/>
              <w:rPr>
                <w:sz w:val="20"/>
                <w:szCs w:val="20"/>
                <w:color w:val="auto"/>
              </w:rPr>
            </w:pPr>
            <w:r>
              <w:rPr>
                <w:rFonts w:ascii="Arial" w:cs="Arial" w:eastAsia="Arial" w:hAnsi="Arial"/>
                <w:sz w:val="18"/>
                <w:szCs w:val="18"/>
                <w:color w:val="auto"/>
              </w:rPr>
              <w:t>actual and pro forma.</w:t>
            </w:r>
          </w:p>
        </w:tc>
        <w:tc>
          <w:tcPr>
            <w:tcW w:w="1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4"/>
              </w:rPr>
              <w:t>Total stockholders’ equity</w:t>
            </w:r>
          </w:p>
        </w:tc>
        <w:tc>
          <w:tcPr>
            <w:tcW w:w="1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820" w:type="dxa"/>
            <w:vAlign w:val="bottom"/>
            <w:gridSpan w:val="2"/>
          </w:tcPr>
          <w:p>
            <w:pPr>
              <w:ind w:left="540"/>
              <w:spacing w:after="0"/>
              <w:rPr>
                <w:sz w:val="20"/>
                <w:szCs w:val="20"/>
                <w:color w:val="auto"/>
              </w:rPr>
            </w:pPr>
            <w:r>
              <w:rPr>
                <w:rFonts w:ascii="Arial" w:cs="Arial" w:eastAsia="Arial" w:hAnsi="Arial"/>
                <w:sz w:val="18"/>
                <w:szCs w:val="18"/>
                <w:color w:val="auto"/>
                <w:w w:val="92"/>
              </w:rPr>
              <w:t>Members’ capital</w:t>
            </w: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1,195,563</w:t>
            </w:r>
          </w:p>
        </w:tc>
        <w:tc>
          <w:tcPr>
            <w:tcW w:w="380" w:type="dxa"/>
            <w:vAlign w:val="bottom"/>
          </w:tcPr>
          <w:p>
            <w:pPr>
              <w:spacing w:after="0"/>
              <w:rPr>
                <w:sz w:val="20"/>
                <w:szCs w:val="20"/>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$ 1,677,534</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100" w:hanging="424"/>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$1.00 increase or decrease in the public offering price per share would increase or decrease , as applicable, our net proceeds, after deducting the underwriting discount and estimated offering expenses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tabs>
          <w:tab w:leader="none" w:pos="2640" w:val="left"/>
        </w:tabs>
        <w:rPr>
          <w:sz w:val="20"/>
          <w:szCs w:val="20"/>
          <w:color w:val="auto"/>
        </w:rPr>
      </w:pPr>
      <w:r>
        <w:rPr>
          <w:rFonts w:ascii="Arial" w:cs="Arial" w:eastAsia="Arial" w:hAnsi="Arial"/>
          <w:sz w:val="18"/>
          <w:szCs w:val="18"/>
          <w:color w:val="auto"/>
        </w:rPr>
        <w:t>payable by us, by $</w:t>
      </w:r>
      <w:r>
        <w:rPr>
          <w:sz w:val="20"/>
          <w:szCs w:val="20"/>
          <w:color w:val="auto"/>
        </w:rPr>
        <w:tab/>
      </w:r>
      <w:r>
        <w:rPr>
          <w:rFonts w:ascii="Arial" w:cs="Arial" w:eastAsia="Arial" w:hAnsi="Arial"/>
          <w:sz w:val="16"/>
          <w:szCs w:val="16"/>
          <w:color w:val="auto"/>
        </w:rPr>
        <w:t>million (assuming no exercise of the underwriters’ option to purchase additional shares). Similarly, an increase or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decrease of one million shares of Class A common stock sold in this offering by us would increase or decrease, as applicable, our net proceeds,</w:t>
      </w:r>
    </w:p>
    <w:p>
      <w:pPr>
        <w:spacing w:after="0" w:line="386" w:lineRule="exact"/>
        <w:rPr>
          <w:sz w:val="20"/>
          <w:szCs w:val="20"/>
          <w:color w:val="auto"/>
        </w:rPr>
      </w:pPr>
    </w:p>
    <w:p>
      <w:pPr>
        <w:ind w:left="540" w:right="240"/>
        <w:spacing w:after="0" w:line="277" w:lineRule="auto"/>
        <w:rPr>
          <w:sz w:val="20"/>
          <w:szCs w:val="20"/>
          <w:color w:val="auto"/>
        </w:rPr>
      </w:pPr>
      <w:r>
        <w:rPr>
          <w:rFonts w:ascii="Arial" w:cs="Arial" w:eastAsia="Arial" w:hAnsi="Arial"/>
          <w:sz w:val="18"/>
          <w:szCs w:val="18"/>
          <w:color w:val="auto"/>
        </w:rPr>
        <w:t>after deducting the underwriting discount and estimated offering expenses payable by us, by $ , based on an assumed initial public offering price of $ per share, which is the midpoint of the price range set forth on the cover of this prospectus.</w:t>
      </w:r>
    </w:p>
    <w:p>
      <w:pPr>
        <w:spacing w:after="0" w:line="76" w:lineRule="exact"/>
        <w:rPr>
          <w:sz w:val="20"/>
          <w:szCs w:val="20"/>
          <w:color w:val="auto"/>
        </w:rPr>
      </w:pPr>
    </w:p>
    <w:p>
      <w:pPr>
        <w:ind w:left="5540" w:right="5000" w:hanging="5424"/>
        <w:spacing w:after="0" w:line="535" w:lineRule="auto"/>
        <w:tabs>
          <w:tab w:leader="none" w:pos="554"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a description of our debt, see “Description of Material Indebtedness.” 72</w:t>
      </w:r>
    </w:p>
    <w:p>
      <w:pPr>
        <w:sectPr>
          <w:pgSz w:w="11900" w:h="16838" w:orient="portrait"/>
          <w:cols w:equalWidth="0" w:num="1">
            <w:col w:w="10840"/>
          </w:cols>
          <w:pgMar w:left="320" w:top="459" w:right="7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invest in our Class A common stock, you will experience dilution to the extent of the difference between the initial public offering price per share of our Class A common stock and the pro forma net tangible book value per share of our Class A common stock. Dilution results from the fact that the per share offering price of the Class A common stock is substantially in excess of the pro forma net tangible book value per share attributable to the Continuing Pre-IPO LLC Members.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Continuing Pre-IPO LLC Members will maintain their LLC Units in Definitive OpCo after the Reorganization Transactions, but will be able to cause the redemption or exchange of their LLC Units for, at our election, shares of Class A common stock or cash. We have presented dilution in pro forma net tangible book value per share assuming that all of the holders of LLC Units (other than the Company) had their LLC Units redeemed or exchanged for newly issued shares of Class A common stock on a one-for-one basis (rather than for cash) and the cancellation for no consideration of all of their shares of Class B common stock (which are not entitled to receive distributions or dividends, whether cash or stock, from the Company) in order to more meaningfully present the dilutive impact on the investors in this offering.</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pro forma net tangible book value as of December 31, 2020, would have been approximately $ , or $ per share of our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common stock outstanding,</w:t>
      </w:r>
    </w:p>
    <w:p>
      <w:pPr>
        <w:ind w:left="120" w:right="100"/>
        <w:spacing w:after="0" w:line="281" w:lineRule="auto"/>
        <w:rPr>
          <w:sz w:val="20"/>
          <w:szCs w:val="20"/>
          <w:color w:val="auto"/>
        </w:rPr>
      </w:pPr>
      <w:r>
        <w:rPr>
          <w:rFonts w:ascii="Arial" w:cs="Arial" w:eastAsia="Arial" w:hAnsi="Arial"/>
          <w:sz w:val="16"/>
          <w:szCs w:val="16"/>
          <w:color w:val="auto"/>
        </w:rPr>
        <w:t>in each case after giving effect to the Reorganization Transactions (based on an assumed initial public offering price of $ per share (the midpoint of the estimated initial public offering price range set forth on the cover page of this prospectus)), assuming that the Continuing Pre-IPO LLC Members redeem or exchange all of their LLC Units and shares of Class B common stock for newly issued shares of our Class A common stock on a</w:t>
      </w:r>
    </w:p>
    <w:p>
      <w:pPr>
        <w:spacing w:after="0" w:line="2"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color w:val="auto"/>
        </w:rPr>
        <w:t>one-for-one basis (assuming</w:t>
      </w:r>
      <w:r>
        <w:rPr>
          <w:sz w:val="20"/>
          <w:szCs w:val="20"/>
          <w:color w:val="auto"/>
        </w:rPr>
        <w:tab/>
      </w:r>
      <w:r>
        <w:rPr>
          <w:rFonts w:ascii="Arial" w:cs="Arial" w:eastAsia="Arial" w:hAnsi="Arial"/>
          <w:sz w:val="16"/>
          <w:szCs w:val="16"/>
          <w:color w:val="auto"/>
        </w:rPr>
        <w:t>shares of Class A common stock are sold in this offering).</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giving effect to the Reorganization Transactions, assuming that the Continuing Pre-IPO LLC Members redeem or exchange all of their LLC</w:t>
      </w:r>
    </w:p>
    <w:p>
      <w:pPr>
        <w:spacing w:after="0" w:line="46"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color w:val="auto"/>
        </w:rPr>
        <w:t>Units for newly issued shares of our Class A common stock on a one-for-one basis, and after giving further effect to the sale of $ shares of Class A common stock in this offering at the assumed initial public offering price of $ per share (the midpoint of the estimated price range on</w:t>
      </w:r>
    </w:p>
    <w:p>
      <w:pPr>
        <w:ind w:left="120"/>
        <w:spacing w:after="0"/>
        <w:rPr>
          <w:sz w:val="20"/>
          <w:szCs w:val="20"/>
          <w:color w:val="auto"/>
        </w:rPr>
      </w:pPr>
      <w:r>
        <w:rPr>
          <w:rFonts w:ascii="Arial" w:cs="Arial" w:eastAsia="Arial" w:hAnsi="Arial"/>
          <w:sz w:val="16"/>
          <w:szCs w:val="16"/>
          <w:color w:val="auto"/>
        </w:rPr>
        <w:t>the cover page of this prospectus) and the use of the net proceeds from this offering, our pro forma as adjusted net tangible book value would have been</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40" w:type="dxa"/>
            <w:vAlign w:val="bottom"/>
            <w:gridSpan w:val="3"/>
          </w:tcPr>
          <w:p>
            <w:pPr>
              <w:spacing w:after="0"/>
              <w:rPr>
                <w:sz w:val="20"/>
                <w:szCs w:val="20"/>
                <w:color w:val="auto"/>
              </w:rPr>
            </w:pPr>
            <w:r>
              <w:rPr>
                <w:rFonts w:ascii="Arial" w:cs="Arial" w:eastAsia="Arial" w:hAnsi="Arial"/>
                <w:sz w:val="18"/>
                <w:szCs w:val="18"/>
                <w:color w:val="auto"/>
              </w:rPr>
              <w:t>approximately $</w:t>
            </w:r>
          </w:p>
        </w:tc>
        <w:tc>
          <w:tcPr>
            <w:tcW w:w="660" w:type="dxa"/>
            <w:vAlign w:val="bottom"/>
          </w:tcPr>
          <w:p>
            <w:pPr>
              <w:ind w:left="260"/>
              <w:spacing w:after="0"/>
              <w:rPr>
                <w:sz w:val="20"/>
                <w:szCs w:val="20"/>
                <w:color w:val="auto"/>
              </w:rPr>
            </w:pPr>
            <w:r>
              <w:rPr>
                <w:rFonts w:ascii="Arial" w:cs="Arial" w:eastAsia="Arial" w:hAnsi="Arial"/>
                <w:sz w:val="18"/>
                <w:szCs w:val="18"/>
                <w:color w:val="auto"/>
                <w:w w:val="92"/>
              </w:rPr>
              <w:t>, or $</w:t>
            </w:r>
          </w:p>
        </w:tc>
        <w:tc>
          <w:tcPr>
            <w:tcW w:w="6620" w:type="dxa"/>
            <w:vAlign w:val="bottom"/>
            <w:gridSpan w:val="2"/>
          </w:tcPr>
          <w:p>
            <w:pPr>
              <w:ind w:left="680"/>
              <w:spacing w:after="0"/>
              <w:rPr>
                <w:sz w:val="20"/>
                <w:szCs w:val="20"/>
                <w:color w:val="auto"/>
              </w:rPr>
            </w:pPr>
            <w:r>
              <w:rPr>
                <w:rFonts w:ascii="Arial" w:cs="Arial" w:eastAsia="Arial" w:hAnsi="Arial"/>
                <w:sz w:val="18"/>
                <w:szCs w:val="18"/>
                <w:color w:val="auto"/>
                <w:w w:val="96"/>
              </w:rPr>
              <w:t>per share, representing an immediate increase in net tangible book value of $</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w w:val="99"/>
              </w:rPr>
              <w:t>per share to existing</w:t>
            </w:r>
          </w:p>
        </w:tc>
        <w:tc>
          <w:tcPr>
            <w:tcW w:w="0" w:type="dxa"/>
            <w:vAlign w:val="bottom"/>
          </w:tcPr>
          <w:p>
            <w:pPr>
              <w:spacing w:after="0"/>
              <w:rPr>
                <w:sz w:val="1"/>
                <w:szCs w:val="1"/>
                <w:color w:val="auto"/>
              </w:rPr>
            </w:pPr>
          </w:p>
        </w:tc>
      </w:tr>
      <w:tr>
        <w:trPr>
          <w:trHeight w:val="230"/>
        </w:trPr>
        <w:tc>
          <w:tcPr>
            <w:tcW w:w="5300" w:type="dxa"/>
            <w:vAlign w:val="bottom"/>
            <w:gridSpan w:val="5"/>
          </w:tcPr>
          <w:p>
            <w:pPr>
              <w:spacing w:after="0"/>
              <w:rPr>
                <w:sz w:val="20"/>
                <w:szCs w:val="20"/>
                <w:color w:val="auto"/>
              </w:rPr>
            </w:pPr>
            <w:r>
              <w:rPr>
                <w:rFonts w:ascii="Arial" w:cs="Arial" w:eastAsia="Arial" w:hAnsi="Arial"/>
                <w:sz w:val="18"/>
                <w:szCs w:val="18"/>
                <w:color w:val="auto"/>
                <w:w w:val="93"/>
              </w:rPr>
              <w:t>equity holders and an immediate dilution in net tangible book value of $</w:t>
            </w:r>
          </w:p>
        </w:tc>
        <w:tc>
          <w:tcPr>
            <w:tcW w:w="3620" w:type="dxa"/>
            <w:vAlign w:val="bottom"/>
          </w:tcPr>
          <w:p>
            <w:pPr>
              <w:jc w:val="right"/>
              <w:ind w:right="990"/>
              <w:spacing w:after="0"/>
              <w:rPr>
                <w:sz w:val="20"/>
                <w:szCs w:val="20"/>
                <w:color w:val="auto"/>
              </w:rPr>
            </w:pPr>
            <w:r>
              <w:rPr>
                <w:rFonts w:ascii="Arial" w:cs="Arial" w:eastAsia="Arial" w:hAnsi="Arial"/>
                <w:sz w:val="18"/>
                <w:szCs w:val="18"/>
                <w:color w:val="auto"/>
              </w:rPr>
              <w:t>per share to new investors.</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00" w:type="dxa"/>
            <w:vAlign w:val="bottom"/>
            <w:gridSpan w:val="5"/>
          </w:tcPr>
          <w:p>
            <w:pPr>
              <w:ind w:left="440"/>
              <w:spacing w:after="0"/>
              <w:rPr>
                <w:sz w:val="20"/>
                <w:szCs w:val="20"/>
                <w:color w:val="auto"/>
              </w:rPr>
            </w:pPr>
            <w:r>
              <w:rPr>
                <w:rFonts w:ascii="Arial" w:cs="Arial" w:eastAsia="Arial" w:hAnsi="Arial"/>
                <w:sz w:val="18"/>
                <w:szCs w:val="18"/>
                <w:color w:val="auto"/>
              </w:rPr>
              <w:t>The following table illustrates the per share dilution:</w:t>
            </w:r>
          </w:p>
        </w:tc>
        <w:tc>
          <w:tcPr>
            <w:tcW w:w="3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4860" w:type="dxa"/>
            <w:vAlign w:val="bottom"/>
            <w:gridSpan w:val="4"/>
          </w:tcPr>
          <w:p>
            <w:pPr>
              <w:spacing w:after="0"/>
              <w:rPr>
                <w:sz w:val="21"/>
                <w:szCs w:val="21"/>
                <w:color w:val="auto"/>
              </w:rPr>
            </w:pPr>
          </w:p>
        </w:tc>
        <w:tc>
          <w:tcPr>
            <w:tcW w:w="3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62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gridSpan w:val="3"/>
          </w:tcPr>
          <w:p>
            <w:pPr>
              <w:ind w:left="80"/>
              <w:spacing w:after="0"/>
              <w:rPr>
                <w:sz w:val="20"/>
                <w:szCs w:val="20"/>
                <w:color w:val="auto"/>
              </w:rPr>
            </w:pPr>
            <w:r>
              <w:rPr>
                <w:rFonts w:ascii="Arial" w:cs="Arial" w:eastAsia="Arial" w:hAnsi="Arial"/>
                <w:sz w:val="18"/>
                <w:szCs w:val="18"/>
                <w:color w:val="auto"/>
              </w:rPr>
              <w:t>Pro forma net tangible book value per share as of</w:t>
            </w:r>
          </w:p>
        </w:tc>
        <w:tc>
          <w:tcPr>
            <w:tcW w:w="3620" w:type="dxa"/>
            <w:vAlign w:val="bottom"/>
          </w:tcPr>
          <w:p>
            <w:pPr>
              <w:spacing w:after="0"/>
              <w:rPr>
                <w:sz w:val="18"/>
                <w:szCs w:val="18"/>
                <w:color w:val="auto"/>
              </w:rPr>
            </w:pPr>
          </w:p>
        </w:tc>
        <w:tc>
          <w:tcPr>
            <w:tcW w:w="16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7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480" w:type="dxa"/>
            <w:vAlign w:val="bottom"/>
            <w:gridSpan w:val="5"/>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 in this offering</w:t>
            </w:r>
          </w:p>
        </w:tc>
        <w:tc>
          <w:tcPr>
            <w:tcW w:w="720" w:type="dxa"/>
            <w:vAlign w:val="bottom"/>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2"/>
          </w:tcPr>
          <w:p>
            <w:pPr>
              <w:ind w:left="420"/>
              <w:spacing w:after="0"/>
              <w:rPr>
                <w:sz w:val="20"/>
                <w:szCs w:val="20"/>
                <w:color w:val="auto"/>
              </w:rPr>
            </w:pPr>
            <w:r>
              <w:rPr>
                <w:rFonts w:ascii="Arial" w:cs="Arial" w:eastAsia="Arial" w:hAnsi="Arial"/>
                <w:sz w:val="18"/>
                <w:szCs w:val="18"/>
                <w:color w:val="auto"/>
              </w:rPr>
              <w:t>(1)</w:t>
            </w:r>
          </w:p>
        </w:tc>
        <w:tc>
          <w:tcPr>
            <w:tcW w:w="920" w:type="dxa"/>
            <w:vAlign w:val="bottom"/>
          </w:tcPr>
          <w:p>
            <w:pPr>
              <w:ind w:left="240"/>
              <w:spacing w:after="0"/>
              <w:rPr>
                <w:sz w:val="20"/>
                <w:szCs w:val="20"/>
                <w:color w:val="auto"/>
              </w:rPr>
            </w:pPr>
            <w:r>
              <w:rPr>
                <w:rFonts w:ascii="Arial" w:cs="Arial" w:eastAsia="Arial" w:hAnsi="Arial"/>
                <w:sz w:val="18"/>
                <w:szCs w:val="18"/>
                <w:color w:val="auto"/>
              </w:rPr>
              <w:t>Reflects</w:t>
            </w:r>
          </w:p>
        </w:tc>
        <w:tc>
          <w:tcPr>
            <w:tcW w:w="660" w:type="dxa"/>
            <w:vAlign w:val="bottom"/>
          </w:tcPr>
          <w:p>
            <w:pPr>
              <w:spacing w:after="0"/>
              <w:rPr>
                <w:sz w:val="24"/>
                <w:szCs w:val="24"/>
                <w:color w:val="auto"/>
              </w:rPr>
            </w:pPr>
          </w:p>
        </w:tc>
        <w:tc>
          <w:tcPr>
            <w:tcW w:w="8580" w:type="dxa"/>
            <w:vAlign w:val="bottom"/>
            <w:gridSpan w:val="5"/>
          </w:tcPr>
          <w:p>
            <w:pPr>
              <w:ind w:left="20"/>
              <w:spacing w:after="0"/>
              <w:rPr>
                <w:sz w:val="20"/>
                <w:szCs w:val="20"/>
                <w:color w:val="auto"/>
              </w:rPr>
            </w:pPr>
            <w:r>
              <w:rPr>
                <w:rFonts w:ascii="Arial" w:cs="Arial" w:eastAsia="Arial" w:hAnsi="Arial"/>
                <w:sz w:val="18"/>
                <w:szCs w:val="18"/>
                <w:color w:val="auto"/>
                <w:w w:val="91"/>
              </w:rPr>
              <w:t>outstanding shares of Class A common stock (assuming all LLC Units and corresponding shares of Class B common</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0" w:type="dxa"/>
            <w:vAlign w:val="bottom"/>
            <w:gridSpan w:val="4"/>
          </w:tcPr>
          <w:p>
            <w:pPr>
              <w:ind w:left="240"/>
              <w:spacing w:after="0"/>
              <w:rPr>
                <w:sz w:val="20"/>
                <w:szCs w:val="20"/>
                <w:color w:val="auto"/>
              </w:rPr>
            </w:pPr>
            <w:r>
              <w:rPr>
                <w:rFonts w:ascii="Arial" w:cs="Arial" w:eastAsia="Arial" w:hAnsi="Arial"/>
                <w:sz w:val="18"/>
                <w:szCs w:val="18"/>
                <w:color w:val="auto"/>
                <w:w w:val="94"/>
              </w:rPr>
              <w:t>stock held by the Continuing Pre-IPO LLC Members are exchanged for shares of Class A common stock).</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20" w:type="dxa"/>
            <w:vAlign w:val="bottom"/>
            <w:gridSpan w:val="2"/>
          </w:tcPr>
          <w:p>
            <w:pPr>
              <w:ind w:left="420"/>
              <w:spacing w:after="0"/>
              <w:rPr>
                <w:sz w:val="20"/>
                <w:szCs w:val="20"/>
                <w:color w:val="auto"/>
              </w:rPr>
            </w:pPr>
            <w:r>
              <w:rPr>
                <w:rFonts w:ascii="Arial" w:cs="Arial" w:eastAsia="Arial" w:hAnsi="Arial"/>
                <w:sz w:val="18"/>
                <w:szCs w:val="18"/>
                <w:color w:val="auto"/>
              </w:rPr>
              <w:t>(2)</w:t>
            </w:r>
          </w:p>
        </w:tc>
        <w:tc>
          <w:tcPr>
            <w:tcW w:w="920" w:type="dxa"/>
            <w:vAlign w:val="bottom"/>
          </w:tcPr>
          <w:p>
            <w:pPr>
              <w:ind w:left="240"/>
              <w:spacing w:after="0"/>
              <w:rPr>
                <w:sz w:val="20"/>
                <w:szCs w:val="20"/>
                <w:color w:val="auto"/>
              </w:rPr>
            </w:pPr>
            <w:r>
              <w:rPr>
                <w:rFonts w:ascii="Arial" w:cs="Arial" w:eastAsia="Arial" w:hAnsi="Arial"/>
                <w:sz w:val="18"/>
                <w:szCs w:val="18"/>
                <w:color w:val="auto"/>
              </w:rPr>
              <w:t>Reflects</w:t>
            </w:r>
          </w:p>
        </w:tc>
        <w:tc>
          <w:tcPr>
            <w:tcW w:w="66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outstanding shares, consisting of (i)</w:t>
            </w:r>
          </w:p>
        </w:tc>
        <w:tc>
          <w:tcPr>
            <w:tcW w:w="5580" w:type="dxa"/>
            <w:vAlign w:val="bottom"/>
            <w:gridSpan w:val="4"/>
          </w:tcPr>
          <w:p>
            <w:pPr>
              <w:ind w:left="400"/>
              <w:spacing w:after="0"/>
              <w:rPr>
                <w:sz w:val="20"/>
                <w:szCs w:val="20"/>
                <w:color w:val="auto"/>
              </w:rPr>
            </w:pPr>
            <w:r>
              <w:rPr>
                <w:rFonts w:ascii="Arial" w:cs="Arial" w:eastAsia="Arial" w:hAnsi="Arial"/>
                <w:sz w:val="18"/>
                <w:szCs w:val="18"/>
                <w:color w:val="auto"/>
                <w:w w:val="90"/>
              </w:rPr>
              <w:t>shares of Class A common stock to be issued in this offering and (ii) the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w w:val="93"/>
              </w:rPr>
              <w:t>outstanding shares described in note (1) above.</w:t>
            </w:r>
          </w:p>
        </w:tc>
        <w:tc>
          <w:tcPr>
            <w:tcW w:w="3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20" w:type="dxa"/>
            <w:vAlign w:val="bottom"/>
          </w:tcPr>
          <w:p>
            <w:pPr>
              <w:jc w:val="right"/>
              <w:ind w:right="3230"/>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Dilution is determined by subtracting pro forma net tangible book value per share after this offering from the initial public offering price per share of Class A common stock.</w:t>
      </w:r>
    </w:p>
    <w:p>
      <w:pPr>
        <w:spacing w:after="0" w:line="170" w:lineRule="exact"/>
        <w:rPr>
          <w:sz w:val="20"/>
          <w:szCs w:val="20"/>
          <w:color w:val="auto"/>
        </w:rPr>
      </w:pPr>
    </w:p>
    <w:p>
      <w:pPr>
        <w:ind w:left="120" w:right="520" w:firstLine="440"/>
        <w:spacing w:after="0" w:line="271"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our pro forma net tangible book value after this offering by $ million and the dilution per share to new investors by $ , in each case assuming the number of shares offered, as set forth on the cover page of this prospectus, remains the same. Each increase (decrease) of shares in the</w:t>
      </w:r>
    </w:p>
    <w:p>
      <w:pPr>
        <w:ind w:left="120"/>
        <w:spacing w:after="0"/>
        <w:rPr>
          <w:sz w:val="20"/>
          <w:szCs w:val="20"/>
          <w:color w:val="auto"/>
        </w:rPr>
      </w:pPr>
      <w:r>
        <w:rPr>
          <w:rFonts w:ascii="Arial" w:cs="Arial" w:eastAsia="Arial" w:hAnsi="Arial"/>
          <w:sz w:val="16"/>
          <w:szCs w:val="16"/>
          <w:color w:val="auto"/>
        </w:rPr>
        <w:t>number of shares sold by us in this offering, as set forth on the cover page of this prospectus, would increase (decrease) the net proceeds to us from this</w:t>
      </w:r>
    </w:p>
    <w:p>
      <w:pPr>
        <w:spacing w:after="0" w:line="38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offering by approximately $ , assuming the assumed initial public offering price of $ per share (the midpoint of the estimated price range set forth on the cover page of this prospectus) remains the same.</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 the extent the underwriters’ option to purchase additional shares of Class A common stock is exercised, there will be further dilution to new investors.</w:t>
      </w:r>
    </w:p>
    <w:p>
      <w:pPr>
        <w:spacing w:after="0" w:line="170"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The following table illustrates, as of December 31, 2020, after giving effect to the Reorganization Transactions, assuming that the Continuing Pre-IPO LLC Members redeem or exchange all of their LLC Units for newly issued shares of our Class A common stock on a one-for-one basis, and</w:t>
      </w:r>
    </w:p>
    <w:p>
      <w:pPr>
        <w:ind w:left="120" w:right="40"/>
        <w:spacing w:after="0" w:line="271" w:lineRule="auto"/>
        <w:rPr>
          <w:sz w:val="20"/>
          <w:szCs w:val="20"/>
          <w:color w:val="auto"/>
        </w:rPr>
      </w:pPr>
      <w:r>
        <w:rPr>
          <w:rFonts w:ascii="Arial" w:cs="Arial" w:eastAsia="Arial" w:hAnsi="Arial"/>
          <w:sz w:val="17"/>
          <w:szCs w:val="17"/>
          <w:color w:val="auto"/>
        </w:rPr>
        <w:t>after giving further effect to the sale by us of shares of our Class A common stock in this offering at the initial public offering price of $ per share (the midpoint of the estimated initial public offering price range set forth on the cover page of this prospectus), the difference between the Pre-IPO LLC Members, and the investors purchasing shares of our Class A common stock in this offering with respect to the number of shares of our common stock purchased from us, the total consideration paid or to be paid to us, and the average price per share paid or to be paid to us, before deducting underwriting discounts and commissions and the estimated offering expenses payable by us: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520" w:type="dxa"/>
            <w:vAlign w:val="bottom"/>
            <w:gridSpan w:val="3"/>
            <w:vMerge w:val="restart"/>
          </w:tcPr>
          <w:p>
            <w:pPr>
              <w:jc w:val="right"/>
              <w:ind w:right="119"/>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58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82"/>
        </w:trPr>
        <w:tc>
          <w:tcPr>
            <w:tcW w:w="6480" w:type="dxa"/>
            <w:vAlign w:val="bottom"/>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580" w:type="dxa"/>
            <w:vAlign w:val="bottom"/>
            <w:tcBorders>
              <w:bottom w:val="single" w:sz="8" w:color="auto"/>
            </w:tcBorders>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2"/>
        </w:trPr>
        <w:tc>
          <w:tcPr>
            <w:tcW w:w="6480" w:type="dxa"/>
            <w:vAlign w:val="bottom"/>
          </w:tcPr>
          <w:p>
            <w:pPr>
              <w:spacing w:after="0"/>
              <w:rPr>
                <w:sz w:val="4"/>
                <w:szCs w:val="4"/>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4"/>
                <w:szCs w:val="4"/>
                <w:color w:val="auto"/>
              </w:rPr>
            </w:pPr>
          </w:p>
        </w:tc>
        <w:tc>
          <w:tcPr>
            <w:tcW w:w="1000" w:type="dxa"/>
            <w:vAlign w:val="bottom"/>
            <w:gridSpan w:val="3"/>
            <w:vMerge w:val="restart"/>
          </w:tcPr>
          <w:p>
            <w:pPr>
              <w:jc w:val="right"/>
              <w:ind w:right="367"/>
              <w:spacing w:after="0"/>
              <w:rPr>
                <w:sz w:val="20"/>
                <w:szCs w:val="20"/>
                <w:color w:val="auto"/>
              </w:rPr>
            </w:pPr>
            <w:r>
              <w:rPr>
                <w:rFonts w:ascii="Arial" w:cs="Arial" w:eastAsia="Arial" w:hAnsi="Arial"/>
                <w:sz w:val="14"/>
                <w:szCs w:val="14"/>
                <w:b w:val="1"/>
                <w:bCs w:val="1"/>
                <w:color w:val="auto"/>
              </w:rPr>
              <w:t>Percent</w:t>
            </w: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4"/>
                <w:szCs w:val="4"/>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Pre-IPO LLC Members</w:t>
            </w: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Investors in this offering</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$ 100.0%</w:t>
            </w:r>
          </w:p>
        </w:tc>
        <w:tc>
          <w:tcPr>
            <w:tcW w:w="8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additional capital is raised through the sale of equity or convertible debt securities, the issuance of these securities could result in further dilution to holders of our Class A common stock.</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following unaudited pro forma consolidated statement of operations for the year ended December 31, 2020 gives effect to the pro forma adjustments related to (i) the Reorganization Transactions, which we refer to as the “Transactions Adjustments” and (ii) the IPO Transactions, including</w:t>
      </w:r>
    </w:p>
    <w:p>
      <w:pPr>
        <w:ind w:left="120" w:right="140"/>
        <w:spacing w:after="0" w:line="251" w:lineRule="auto"/>
        <w:rPr>
          <w:sz w:val="20"/>
          <w:szCs w:val="20"/>
          <w:color w:val="auto"/>
        </w:rPr>
      </w:pPr>
      <w:r>
        <w:rPr>
          <w:rFonts w:ascii="Arial" w:cs="Arial" w:eastAsia="Arial" w:hAnsi="Arial"/>
          <w:sz w:val="18"/>
          <w:szCs w:val="18"/>
          <w:color w:val="auto"/>
        </w:rPr>
        <w:t>the sale of shares of Class A common stock and the application of the net proceeds from this offering, which we refer to as the “Offering Adjustments.” We refer to the Reorganization Transactions and the IPO Transactions collectively as the “Transactions.” The unaudited pro forma consolidated statement of operations for the year ended December 31, 2020 gives pro forma effect to the Transactions as if they had occurred on January 1, 2020. The unaudited pro forma balance sheet information as of December 31, 2020 gives effect to the pro forma adjustments as if they had occurred on December 31, 2020. See “Capitalization.”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9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historical financial information as of and for the year ended December 31, 2020 has been derived from Definitive OpCo’s consolidated financial statements and accompanying notes included elsewhere in this prospectus.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pro forma adjustments related to the Reorganization Transactions, which we refer to as the “Transactions Adjustments” are described in the notes to the unaudited pro forma consolidated financial information and primarily include:</w:t>
      </w:r>
    </w:p>
    <w:p>
      <w:pPr>
        <w:spacing w:after="0" w:line="76" w:lineRule="exact"/>
        <w:rPr>
          <w:sz w:val="20"/>
          <w:szCs w:val="20"/>
          <w:color w:val="auto"/>
        </w:rPr>
      </w:pPr>
    </w:p>
    <w:p>
      <w:pPr>
        <w:ind w:left="540" w:right="420" w:hanging="316"/>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adjustments for the Reorganization Transactions, the entry into the Amended LLC Agreement and the entry into one or more Tax Receivable Agreements;</w:t>
      </w:r>
    </w:p>
    <w:p>
      <w:pPr>
        <w:spacing w:after="0" w:line="75" w:lineRule="exact"/>
        <w:rPr>
          <w:rFonts w:ascii="Arial" w:cs="Arial" w:eastAsia="Arial" w:hAnsi="Arial"/>
          <w:sz w:val="18"/>
          <w:szCs w:val="18"/>
          <w:color w:val="auto"/>
        </w:rPr>
      </w:pPr>
    </w:p>
    <w:p>
      <w:pPr>
        <w:ind w:left="540" w:right="100" w:hanging="316"/>
        <w:spacing w:after="0" w:line="263"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recognition of a contingently redeemable non-controlling interest in Definitive OpCo held by the Continuing Pre-IPO LLC Members, which will be redeemable, at our election, for shares of Class A common stock on a one-for-one basis or a cash payment in accordance with the terms of the Amended LLC Agreement; and</w:t>
      </w:r>
    </w:p>
    <w:p>
      <w:pPr>
        <w:sectPr>
          <w:pgSz w:w="11900" w:h="16838" w:orient="portrait"/>
          <w:cols w:equalWidth="0" w:num="1">
            <w:col w:w="11120"/>
          </w:cols>
          <w:pgMar w:left="320" w:top="459" w:right="459" w:bottom="1440" w:gutter="0" w:footer="0" w:header="0"/>
        </w:sectPr>
      </w:pPr>
    </w:p>
    <w:p>
      <w:pPr>
        <w:spacing w:after="0" w:line="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 for federal and state income taxes of Definitive Healthcare Corp. as a taxable corporation at an effective rate of ended December 31, 2020 (calculated using a U.S. federal income tax rate of 21%).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for the year</w:t>
      </w:r>
    </w:p>
    <w:p>
      <w:pPr>
        <w:spacing w:after="0" w:line="463" w:lineRule="exact"/>
        <w:rPr>
          <w:sz w:val="20"/>
          <w:szCs w:val="20"/>
          <w:color w:val="auto"/>
        </w:rPr>
      </w:pPr>
    </w:p>
    <w:p>
      <w:pPr>
        <w:sectPr>
          <w:pgSz w:w="11900" w:h="16838" w:orient="portrait"/>
          <w:cols w:equalWidth="0" w:num="3">
            <w:col w:w="280" w:space="260"/>
            <w:col w:w="8720" w:space="720"/>
            <w:col w:w="1140"/>
          </w:cols>
          <w:pgMar w:left="320" w:top="459" w:right="459" w:bottom="1440" w:gutter="0" w:footer="0" w:header="0"/>
          <w:type w:val="continuous"/>
        </w:sectPr>
      </w:pPr>
    </w:p>
    <w:p>
      <w:pPr>
        <w:ind w:left="120" w:right="380" w:firstLine="440"/>
        <w:spacing w:after="0" w:line="277" w:lineRule="auto"/>
        <w:rPr>
          <w:sz w:val="20"/>
          <w:szCs w:val="20"/>
          <w:color w:val="auto"/>
        </w:rPr>
      </w:pPr>
      <w:r>
        <w:rPr>
          <w:rFonts w:ascii="Arial" w:cs="Arial" w:eastAsia="Arial" w:hAnsi="Arial"/>
          <w:sz w:val="18"/>
          <w:szCs w:val="18"/>
          <w:color w:val="auto"/>
        </w:rPr>
        <w:t>The pro forma adjustments related to the IPO Transactions, which we refer to as the “Offering Adjustments,” are described in the notes to the unaudited pro forma consolidated financial information and primarily include:</w:t>
      </w:r>
    </w:p>
    <w:p>
      <w:pPr>
        <w:sectPr>
          <w:pgSz w:w="11900" w:h="16838" w:orient="portrait"/>
          <w:cols w:equalWidth="0" w:num="1">
            <w:col w:w="11120"/>
          </w:cols>
          <w:pgMar w:left="320" w:top="459" w:right="459" w:bottom="1440" w:gutter="0" w:footer="0" w:header="0"/>
          <w:type w:val="continuous"/>
        </w:sectPr>
      </w:pPr>
    </w:p>
    <w:p>
      <w:pPr>
        <w:spacing w:after="0" w:line="7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issuance of shares of our Class A common stock to the purchasers in this offering in exchange for net proceeds of approximately $ assuming that the shares are offered at $ per share (the midpoint of the price range listed on the cover page of this prospectus), after deducting underwriting discounts and commissions but before offering expenses;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19" w:lineRule="exact"/>
        <w:rPr>
          <w:sz w:val="20"/>
          <w:szCs w:val="20"/>
          <w:color w:val="auto"/>
        </w:rPr>
      </w:pPr>
    </w:p>
    <w:p>
      <w:pPr>
        <w:sectPr>
          <w:pgSz w:w="11900" w:h="16838" w:orient="portrait"/>
          <w:cols w:equalWidth="0" w:num="3">
            <w:col w:w="280" w:space="260"/>
            <w:col w:w="10360" w:space="20"/>
            <w:col w:w="200"/>
          </w:cols>
          <w:pgMar w:left="320" w:top="459" w:right="459" w:bottom="1440" w:gutter="0" w:footer="0" w:header="0"/>
          <w:type w:val="continuous"/>
        </w:sectPr>
      </w:pPr>
    </w:p>
    <w:p>
      <w:pPr>
        <w:ind w:left="540" w:hanging="316"/>
        <w:spacing w:after="0" w:line="263"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application by Definitive Healthcare Corp. of the net proceeds from this offering to acquire newly issued LLC Units from Definitive OpCo at a purchase price per LLC Unit equal to the initial public offering price of Class A common stock net of underwriting discounts and commissions;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application by Definitive OpCo of a portion of the proceeds of the sale of LLC Units to Definitive Healthcare Corp. to (i) pay fees and</w:t>
      </w:r>
    </w:p>
    <w:p>
      <w:pPr>
        <w:spacing w:after="0" w:line="35" w:lineRule="exact"/>
        <w:rPr>
          <w:sz w:val="20"/>
          <w:szCs w:val="20"/>
          <w:color w:val="auto"/>
        </w:rPr>
      </w:pPr>
    </w:p>
    <w:p>
      <w:pPr>
        <w:ind w:left="540"/>
        <w:spacing w:after="0"/>
        <w:tabs>
          <w:tab w:leader="none" w:pos="3320" w:val="left"/>
        </w:tabs>
        <w:rPr>
          <w:sz w:val="20"/>
          <w:szCs w:val="20"/>
          <w:color w:val="auto"/>
        </w:rPr>
      </w:pPr>
      <w:r>
        <w:rPr>
          <w:rFonts w:ascii="Arial" w:cs="Arial" w:eastAsia="Arial" w:hAnsi="Arial"/>
          <w:sz w:val="18"/>
          <w:szCs w:val="18"/>
          <w:color w:val="auto"/>
        </w:rPr>
        <w:t>expenses of approximately $</w:t>
      </w:r>
      <w:r>
        <w:rPr>
          <w:sz w:val="20"/>
          <w:szCs w:val="20"/>
          <w:color w:val="auto"/>
        </w:rPr>
        <w:tab/>
      </w:r>
      <w:r>
        <w:rPr>
          <w:rFonts w:ascii="Arial" w:cs="Arial" w:eastAsia="Arial" w:hAnsi="Arial"/>
          <w:sz w:val="16"/>
          <w:szCs w:val="16"/>
          <w:color w:val="auto"/>
        </w:rPr>
        <w:t>in connection with this offering and (ii) as otherwise set forth in “Use of Proceeds.”</w:t>
      </w:r>
    </w:p>
    <w:p>
      <w:pPr>
        <w:spacing w:after="0" w:line="211"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7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Because Definitive Healthcare Corp. was formed on May 5, 2021 and will have no material assets or results of operations until the completion of the IPO, its historical financial information is not included in the unaudited pro forma consolidated financial information for the year ended December 31, 2020.</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5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unaudited pro forma consolidated financial information should be read together with “Organizational Structure,” “Capitalization,” “Management’s Discussion and Analysis of Financial Condition and Results of Operations” and our historical financial statements and related notes thereto included elsewhere in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CONSOLIDATED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Historical</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Offering</w:t>
            </w:r>
          </w:p>
        </w:tc>
        <w:tc>
          <w:tcPr>
            <w:tcW w:w="144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Definitive</w:t>
            </w:r>
          </w:p>
        </w:tc>
        <w:tc>
          <w:tcPr>
            <w:tcW w:w="146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1420" w:type="dxa"/>
            <w:vAlign w:val="bottom"/>
            <w:vMerge w:val="continue"/>
          </w:tcPr>
          <w:p>
            <w:pPr>
              <w:spacing w:after="0"/>
              <w:rPr>
                <w:sz w:val="12"/>
                <w:szCs w:val="12"/>
                <w:color w:val="auto"/>
              </w:rPr>
            </w:pPr>
          </w:p>
        </w:tc>
        <w:tc>
          <w:tcPr>
            <w:tcW w:w="144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OpCo</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Healthcare Corp.</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Adjustment</w:t>
            </w:r>
          </w:p>
        </w:tc>
        <w:tc>
          <w:tcPr>
            <w:tcW w:w="144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4"/>
              </w:rPr>
              <w:t>Healthcare Corp.</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 in thousands, except per share data)</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118,317</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80"/>
              <w:spacing w:after="0" w:line="201" w:lineRule="exact"/>
              <w:rPr>
                <w:sz w:val="20"/>
                <w:szCs w:val="20"/>
                <w:color w:val="auto"/>
              </w:rPr>
            </w:pPr>
            <w:r>
              <w:rPr>
                <w:rFonts w:ascii="Arial" w:cs="Arial" w:eastAsia="Arial" w:hAnsi="Arial"/>
                <w:sz w:val="18"/>
                <w:szCs w:val="18"/>
                <w:color w:val="auto"/>
              </w:rPr>
              <w:t>Cost of revenue exclusive of amortization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shown below</w:t>
            </w: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11,085</w:t>
            </w:r>
          </w:p>
        </w:tc>
        <w:tc>
          <w:tcPr>
            <w:tcW w:w="1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19,383</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87,849</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34,332</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11,062</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12,927</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40,197</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Transaction expenses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3,776</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jc w:val="right"/>
              <w:ind w:right="239"/>
              <w:spacing w:after="0"/>
              <w:rPr>
                <w:sz w:val="20"/>
                <w:szCs w:val="20"/>
                <w:color w:val="auto"/>
              </w:rPr>
            </w:pPr>
            <w:r>
              <w:rPr>
                <w:rFonts w:ascii="Arial" w:cs="Arial" w:eastAsia="Arial" w:hAnsi="Arial"/>
                <w:sz w:val="18"/>
                <w:szCs w:val="18"/>
                <w:color w:val="auto"/>
              </w:rPr>
              <w:t>(4)</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102,294</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540"/>
              <w:spacing w:after="0"/>
              <w:rPr>
                <w:sz w:val="20"/>
                <w:szCs w:val="20"/>
                <w:color w:val="auto"/>
              </w:rPr>
            </w:pPr>
            <w:r>
              <w:rPr>
                <w:rFonts w:ascii="Arial" w:cs="Arial" w:eastAsia="Arial" w:hAnsi="Arial"/>
                <w:sz w:val="18"/>
                <w:szCs w:val="18"/>
                <w:color w:val="auto"/>
              </w:rPr>
              <w:t>(Loss) income from operations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(14,445)</w:t>
            </w: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Foreign currency transaction loss</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(36,490)</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(5)</w:t>
            </w: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(36,712)</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(51,157)</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Income tax expense</w:t>
            </w:r>
          </w:p>
        </w:tc>
        <w:tc>
          <w:tcPr>
            <w:tcW w:w="3020" w:type="dxa"/>
            <w:vAlign w:val="bottom"/>
          </w:tcPr>
          <w:p>
            <w:pPr>
              <w:jc w:val="right"/>
              <w:ind w:right="1370"/>
              <w:spacing w:after="0"/>
              <w:rPr>
                <w:sz w:val="20"/>
                <w:szCs w:val="20"/>
                <w:color w:val="auto"/>
              </w:rPr>
            </w:pPr>
            <w:r>
              <w:rPr>
                <w:rFonts w:ascii="Arial" w:cs="Arial" w:eastAsia="Arial" w:hAnsi="Arial"/>
                <w:sz w:val="18"/>
                <w:szCs w:val="18"/>
                <w:color w:val="auto"/>
              </w:rPr>
              <w:t>(1)</w:t>
            </w:r>
          </w:p>
        </w:tc>
        <w:tc>
          <w:tcPr>
            <w:tcW w:w="342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after income tax expense</w:t>
            </w:r>
          </w:p>
        </w:tc>
        <w:tc>
          <w:tcPr>
            <w:tcW w:w="30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310"/>
        </w:trPr>
        <w:tc>
          <w:tcPr>
            <w:tcW w:w="4580" w:type="dxa"/>
            <w:vAlign w:val="bottom"/>
          </w:tcPr>
          <w:p>
            <w:pPr>
              <w:spacing w:after="0"/>
              <w:rPr>
                <w:sz w:val="20"/>
                <w:szCs w:val="20"/>
                <w:color w:val="auto"/>
              </w:rPr>
            </w:pPr>
            <w:r>
              <w:rPr>
                <w:rFonts w:ascii="Arial" w:cs="Arial" w:eastAsia="Arial" w:hAnsi="Arial"/>
                <w:sz w:val="18"/>
                <w:szCs w:val="18"/>
                <w:color w:val="auto"/>
              </w:rPr>
              <w:t>Net loss attributable to noncontrolling</w:t>
            </w:r>
          </w:p>
        </w:tc>
        <w:tc>
          <w:tcPr>
            <w:tcW w:w="3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3020" w:type="dxa"/>
            <w:vAlign w:val="bottom"/>
          </w:tcPr>
          <w:p>
            <w:pPr>
              <w:jc w:val="right"/>
              <w:ind w:right="1370"/>
              <w:spacing w:after="0"/>
              <w:rPr>
                <w:sz w:val="20"/>
                <w:szCs w:val="20"/>
                <w:color w:val="auto"/>
              </w:rPr>
            </w:pPr>
            <w:r>
              <w:rPr>
                <w:rFonts w:ascii="Arial" w:cs="Arial" w:eastAsia="Arial" w:hAnsi="Arial"/>
                <w:sz w:val="18"/>
                <w:szCs w:val="18"/>
                <w:color w:val="auto"/>
              </w:rPr>
              <w:t>(2)</w:t>
            </w:r>
          </w:p>
        </w:tc>
        <w:tc>
          <w:tcPr>
            <w:tcW w:w="3420" w:type="dxa"/>
            <w:vAlign w:val="bottom"/>
          </w:tcPr>
          <w:p>
            <w:pPr>
              <w:spacing w:after="0"/>
              <w:rPr>
                <w:sz w:val="20"/>
                <w:szCs w:val="20"/>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Definitive Healthcare</w:t>
            </w:r>
          </w:p>
        </w:tc>
        <w:tc>
          <w:tcPr>
            <w:tcW w:w="30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w:t>
            </w:r>
          </w:p>
        </w:tc>
        <w:tc>
          <w:tcPr>
            <w:tcW w:w="30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324"/>
        </w:trPr>
        <w:tc>
          <w:tcPr>
            <w:tcW w:w="4580" w:type="dxa"/>
            <w:vAlign w:val="bottom"/>
          </w:tcPr>
          <w:p>
            <w:pPr>
              <w:spacing w:after="0"/>
              <w:rPr>
                <w:sz w:val="20"/>
                <w:szCs w:val="20"/>
                <w:color w:val="auto"/>
              </w:rPr>
            </w:pPr>
            <w:r>
              <w:rPr>
                <w:rFonts w:ascii="Arial" w:cs="Arial" w:eastAsia="Arial" w:hAnsi="Arial"/>
                <w:sz w:val="18"/>
                <w:szCs w:val="18"/>
                <w:b w:val="1"/>
                <w:bCs w:val="1"/>
                <w:color w:val="auto"/>
              </w:rPr>
              <w:t>Pro forma net loss per share data</w:t>
            </w:r>
          </w:p>
        </w:tc>
        <w:tc>
          <w:tcPr>
            <w:tcW w:w="3020" w:type="dxa"/>
            <w:vAlign w:val="bottom"/>
          </w:tcPr>
          <w:p>
            <w:pPr>
              <w:jc w:val="right"/>
              <w:ind w:right="1370"/>
              <w:spacing w:after="0"/>
              <w:rPr>
                <w:sz w:val="20"/>
                <w:szCs w:val="20"/>
                <w:color w:val="auto"/>
              </w:rPr>
            </w:pPr>
            <w:r>
              <w:rPr>
                <w:rFonts w:ascii="Arial" w:cs="Arial" w:eastAsia="Arial" w:hAnsi="Arial"/>
                <w:sz w:val="18"/>
                <w:szCs w:val="18"/>
                <w:color w:val="auto"/>
              </w:rPr>
              <w:t>(3)</w:t>
            </w:r>
          </w:p>
        </w:tc>
        <w:tc>
          <w:tcPr>
            <w:tcW w:w="3420" w:type="dxa"/>
            <w:vAlign w:val="bottom"/>
          </w:tcPr>
          <w:p>
            <w:pPr>
              <w:jc w:val="right"/>
              <w:ind w:right="167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 forma average shares of Class 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outstanding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Pro Forma Consolidated Financial Information (Year Ended December 31, 2020)</w:t>
      </w:r>
    </w:p>
    <w:p>
      <w:pPr>
        <w:spacing w:after="0" w:line="135" w:lineRule="exact"/>
        <w:rPr>
          <w:sz w:val="20"/>
          <w:szCs w:val="20"/>
          <w:color w:val="auto"/>
        </w:rPr>
      </w:pPr>
    </w:p>
    <w:p>
      <w:pPr>
        <w:ind w:left="540" w:hanging="424"/>
        <w:spacing w:after="0" w:line="29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Following the Reorganization Transactions, Definitive Healthcare Corp. will be subject to U.S. federal income taxes, in addition to state and local taxes. As a result, the pro forma statement of operations reflects an adjustment to income tax expense for corporate income taxes to reflect a</w:t>
      </w:r>
    </w:p>
    <w:p>
      <w:pPr>
        <w:ind w:left="540" w:right="60"/>
        <w:spacing w:after="0" w:line="302" w:lineRule="auto"/>
        <w:rPr>
          <w:sz w:val="20"/>
          <w:szCs w:val="20"/>
          <w:color w:val="auto"/>
        </w:rPr>
      </w:pPr>
      <w:r>
        <w:rPr>
          <w:rFonts w:ascii="Arial" w:cs="Arial" w:eastAsia="Arial" w:hAnsi="Arial"/>
          <w:sz w:val="16"/>
          <w:szCs w:val="16"/>
          <w:color w:val="auto"/>
        </w:rPr>
        <w:t>statutory tax rate of %, which includes a provision for U.S. federal income taxes and assumes the highest statutory rates apportioned to each state and local jurisdiction. Definitive OpCo is, and will continue to be, taxed as a partnership for federal income tax purposes and, as a result, its members, including Definitive Healthcare Corp., will pay income taxes with respect to their allocable shares of its taxable income.</w:t>
      </w:r>
    </w:p>
    <w:p>
      <w:pPr>
        <w:spacing w:after="0" w:line="47" w:lineRule="exact"/>
        <w:rPr>
          <w:sz w:val="20"/>
          <w:szCs w:val="20"/>
          <w:color w:val="auto"/>
        </w:rPr>
      </w:pPr>
    </w:p>
    <w:p>
      <w:pPr>
        <w:ind w:left="560" w:right="360"/>
        <w:spacing w:after="0" w:line="291" w:lineRule="auto"/>
        <w:rPr>
          <w:sz w:val="20"/>
          <w:szCs w:val="20"/>
          <w:color w:val="auto"/>
        </w:rPr>
      </w:pPr>
      <w:r>
        <w:rPr>
          <w:rFonts w:ascii="Arial" w:cs="Arial" w:eastAsia="Arial" w:hAnsi="Arial"/>
          <w:sz w:val="16"/>
          <w:szCs w:val="16"/>
          <w:color w:val="auto"/>
        </w:rPr>
        <w:t>The pro forma adjustment for income tax expense represents tax expense on income that will be taxable in jurisdictions after our corporate reorganization that previously had not been taxable. The adjustment is calculated as pro forma income before income taxes multiplied by the</w:t>
      </w:r>
    </w:p>
    <w:tbl>
      <w:tblPr>
        <w:tblLayout w:type="fixed"/>
        <w:tblInd w:w="56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6"/>
              </w:rPr>
              <w:t>ownership percentage of the controlling interest and multiplied by the effective tax rate of</w:t>
            </w:r>
          </w:p>
        </w:tc>
        <w:tc>
          <w:tcPr>
            <w:tcW w:w="164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4"/>
        </w:trPr>
        <w:tc>
          <w:tcPr>
            <w:tcW w:w="4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Twelve Months</w:t>
            </w:r>
          </w:p>
        </w:tc>
      </w:tr>
      <w:tr>
        <w:trPr>
          <w:trHeight w:val="148"/>
        </w:trPr>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4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 2020</w:t>
            </w:r>
          </w:p>
        </w:tc>
      </w:tr>
      <w:tr>
        <w:trPr>
          <w:trHeight w:val="210"/>
        </w:trPr>
        <w:tc>
          <w:tcPr>
            <w:tcW w:w="44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income before income taxes</w:t>
            </w:r>
          </w:p>
        </w:tc>
        <w:tc>
          <w:tcPr>
            <w:tcW w:w="1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Ownership % of the controlling interest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attributable to the controlling interest</w:t>
            </w:r>
          </w:p>
        </w:tc>
        <w:tc>
          <w:tcPr>
            <w:tcW w:w="280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 forma effective tax rate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Transaction adjustment</w:t>
            </w:r>
          </w:p>
        </w:tc>
        <w:tc>
          <w:tcPr>
            <w:tcW w:w="280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87"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connection with the Reorganization Transactions, we will be appointed as the sole managing member of Definitive OpCo pursuant to the Amended LLC Agreement. As a result, while we will own less than 100% of the economic interest in Definitive OpCo, we will have 100% of the voting power and control the management of Definitive OpCo. Because we will manage and operate the business and control the strategic</w:t>
      </w:r>
    </w:p>
    <w:p>
      <w:pPr>
        <w:spacing w:after="0" w:line="2" w:lineRule="exact"/>
        <w:rPr>
          <w:sz w:val="20"/>
          <w:szCs w:val="20"/>
          <w:color w:val="auto"/>
        </w:rPr>
      </w:pPr>
    </w:p>
    <w:p>
      <w:pPr>
        <w:ind w:left="540"/>
        <w:spacing w:after="0" w:line="281" w:lineRule="auto"/>
        <w:rPr>
          <w:sz w:val="20"/>
          <w:szCs w:val="20"/>
          <w:color w:val="auto"/>
        </w:rPr>
      </w:pPr>
      <w:r>
        <w:rPr>
          <w:rFonts w:ascii="Arial" w:cs="Arial" w:eastAsia="Arial" w:hAnsi="Arial"/>
          <w:sz w:val="16"/>
          <w:szCs w:val="16"/>
          <w:color w:val="auto"/>
        </w:rPr>
        <w:t>decisions and day-to-day operations of Definitive OpCo and will also have a substantial financial interest in Definitive OpCo, we will consolidate the financial results of Definitive OpCo, and a portion of our net income (loss) will be allocated to the contingently redeemable noncontrolling interest to reflect the entitlement of the Continuing Pre-IPO LLC Members to a portion of Definitive OpCo’s net income (loss). We will initially</w:t>
      </w:r>
    </w:p>
    <w:p>
      <w:pPr>
        <w:spacing w:after="0" w:line="2" w:lineRule="exact"/>
        <w:rPr>
          <w:sz w:val="20"/>
          <w:szCs w:val="20"/>
          <w:color w:val="auto"/>
        </w:rPr>
      </w:pPr>
    </w:p>
    <w:p>
      <w:pPr>
        <w:ind w:left="540" w:right="120"/>
        <w:spacing w:after="0" w:line="529" w:lineRule="auto"/>
        <w:rPr>
          <w:sz w:val="20"/>
          <w:szCs w:val="20"/>
          <w:color w:val="auto"/>
        </w:rPr>
      </w:pPr>
      <w:r>
        <w:rPr>
          <w:rFonts w:ascii="Arial" w:cs="Arial" w:eastAsia="Arial" w:hAnsi="Arial"/>
          <w:sz w:val="17"/>
          <w:szCs w:val="17"/>
          <w:color w:val="auto"/>
        </w:rPr>
        <w:t>hold approximately % of Definitive OpCo’s outstanding LLC Units (or approximately % if the underwriters exercise their option to purchase additional shares of Class A common stock in full), and the remaining LLC Units of Definitive OpCo will be held by the Continuing Pre-IPO LLC Members. Immediately following the Reorganization Transactions, the ownership percentage held by the contingently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redeemable noncontrolling interest will be approximately %. Net loss attributable to the contingently redeemable noncontrolling interest will represent approximately % of net loss.</w:t>
      </w:r>
    </w:p>
    <w:p>
      <w:pPr>
        <w:spacing w:after="0" w:line="76" w:lineRule="exact"/>
        <w:rPr>
          <w:sz w:val="20"/>
          <w:szCs w:val="20"/>
          <w:color w:val="auto"/>
        </w:rPr>
      </w:pPr>
    </w:p>
    <w:p>
      <w:pPr>
        <w:ind w:left="540" w:right="220" w:hanging="424"/>
        <w:spacing w:after="0" w:line="301"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40"/>
          </w:cols>
          <w:pgMar w:left="32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Twelve Months</w:t>
            </w:r>
          </w:p>
        </w:tc>
        <w:tc>
          <w:tcPr>
            <w:tcW w:w="0" w:type="dxa"/>
            <w:vAlign w:val="bottom"/>
          </w:tcPr>
          <w:p>
            <w:pPr>
              <w:spacing w:after="0"/>
              <w:rPr>
                <w:sz w:val="1"/>
                <w:szCs w:val="1"/>
                <w:color w:val="auto"/>
              </w:rPr>
            </w:pPr>
          </w:p>
        </w:tc>
      </w:tr>
      <w:tr>
        <w:trPr>
          <w:trHeight w:val="171"/>
        </w:trPr>
        <w:tc>
          <w:tcPr>
            <w:tcW w:w="890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Pro forma loss per share of Class A common stock</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Ended December 31, 2020</w:t>
            </w:r>
          </w:p>
        </w:tc>
        <w:tc>
          <w:tcPr>
            <w:tcW w:w="0" w:type="dxa"/>
            <w:vAlign w:val="bottom"/>
          </w:tcPr>
          <w:p>
            <w:pPr>
              <w:spacing w:after="0"/>
              <w:rPr>
                <w:sz w:val="1"/>
                <w:szCs w:val="1"/>
                <w:color w:val="auto"/>
              </w:rPr>
            </w:pPr>
          </w:p>
        </w:tc>
      </w:tr>
      <w:tr>
        <w:trPr>
          <w:trHeight w:val="142"/>
        </w:trPr>
        <w:tc>
          <w:tcPr>
            <w:tcW w:w="8900" w:type="dxa"/>
            <w:vAlign w:val="bottom"/>
            <w:gridSpan w:val="4"/>
            <w:vMerge w:val="continue"/>
          </w:tcPr>
          <w:p>
            <w:pPr>
              <w:spacing w:after="0"/>
              <w:rPr>
                <w:sz w:val="12"/>
                <w:szCs w:val="12"/>
                <w:color w:val="auto"/>
              </w:rPr>
            </w:pPr>
          </w:p>
        </w:tc>
        <w:tc>
          <w:tcPr>
            <w:tcW w:w="1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8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Pro forma net loss attributable to the Issuer’s Class A common stockholders (basic and diluted)</w:t>
            </w:r>
          </w:p>
        </w:tc>
        <w:tc>
          <w:tcPr>
            <w:tcW w:w="16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Pro forma weighted average of shares of Class A common stock outstanding (basic)</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weighted average of shares of Class A common stock outstanding (diluted)</w:t>
            </w:r>
          </w:p>
        </w:tc>
        <w:tc>
          <w:tcPr>
            <w:tcW w:w="166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w w:val="99"/>
              </w:rPr>
              <w:t>Pro forma basic loss per share</w:t>
            </w:r>
          </w:p>
        </w:tc>
        <w:tc>
          <w:tcPr>
            <w:tcW w:w="4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Pro forma diluted loss per share</w:t>
            </w:r>
          </w:p>
        </w:tc>
        <w:tc>
          <w:tcPr>
            <w:tcW w:w="4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080" w:type="dxa"/>
            <w:vAlign w:val="bottom"/>
            <w:gridSpan w:val="2"/>
          </w:tcPr>
          <w:p>
            <w:pPr>
              <w:spacing w:after="0"/>
              <w:rPr>
                <w:sz w:val="20"/>
                <w:szCs w:val="20"/>
                <w:color w:val="auto"/>
              </w:rPr>
            </w:pPr>
            <w:r>
              <w:rPr>
                <w:rFonts w:ascii="Arial" w:cs="Arial" w:eastAsia="Arial" w:hAnsi="Arial"/>
                <w:sz w:val="18"/>
                <w:szCs w:val="18"/>
                <w:color w:val="auto"/>
              </w:rPr>
              <w:t>(4)   We incurred approximately $</w:t>
            </w:r>
          </w:p>
        </w:tc>
        <w:tc>
          <w:tcPr>
            <w:tcW w:w="7680" w:type="dxa"/>
            <w:vAlign w:val="bottom"/>
            <w:gridSpan w:val="4"/>
          </w:tcPr>
          <w:p>
            <w:pPr>
              <w:ind w:left="160"/>
              <w:spacing w:after="0"/>
              <w:rPr>
                <w:sz w:val="20"/>
                <w:szCs w:val="20"/>
                <w:color w:val="auto"/>
              </w:rPr>
            </w:pPr>
            <w:r>
              <w:rPr>
                <w:rFonts w:ascii="Arial" w:cs="Arial" w:eastAsia="Arial" w:hAnsi="Arial"/>
                <w:sz w:val="18"/>
                <w:szCs w:val="18"/>
                <w:color w:val="auto"/>
                <w:w w:val="91"/>
              </w:rPr>
              <w:t>in expenses in connection with this offering that were not reflected in our historical financial statements,</w:t>
            </w:r>
          </w:p>
        </w:tc>
        <w:tc>
          <w:tcPr>
            <w:tcW w:w="0" w:type="dxa"/>
            <w:vAlign w:val="bottom"/>
          </w:tcPr>
          <w:p>
            <w:pPr>
              <w:spacing w:after="0"/>
              <w:rPr>
                <w:sz w:val="1"/>
                <w:szCs w:val="1"/>
                <w:color w:val="auto"/>
              </w:rPr>
            </w:pPr>
          </w:p>
        </w:tc>
      </w:tr>
      <w:tr>
        <w:trPr>
          <w:trHeight w:val="230"/>
        </w:trPr>
        <w:tc>
          <w:tcPr>
            <w:tcW w:w="3080" w:type="dxa"/>
            <w:vAlign w:val="bottom"/>
            <w:gridSpan w:val="2"/>
          </w:tcPr>
          <w:p>
            <w:pPr>
              <w:ind w:left="420"/>
              <w:spacing w:after="0"/>
              <w:rPr>
                <w:sz w:val="20"/>
                <w:szCs w:val="20"/>
                <w:color w:val="auto"/>
              </w:rPr>
            </w:pPr>
            <w:r>
              <w:rPr>
                <w:rFonts w:ascii="Arial" w:cs="Arial" w:eastAsia="Arial" w:hAnsi="Arial"/>
                <w:sz w:val="18"/>
                <w:szCs w:val="18"/>
                <w:color w:val="auto"/>
              </w:rPr>
              <w:t>which we do not expect to recur.</w:t>
            </w:r>
          </w:p>
        </w:tc>
        <w:tc>
          <w:tcPr>
            <w:tcW w:w="4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0" w:hanging="424"/>
        <w:spacing w:after="0" w:line="197" w:lineRule="auto"/>
        <w:tabs>
          <w:tab w:leader="none" w:pos="5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Definitive OpCo will use a portion of the proceeds from the issuance of LLC Units to Definitive Healthcare Corp. to repay indebtedness. Our</w:t>
      </w:r>
    </w:p>
    <w:p>
      <w:pPr>
        <w:spacing w:after="0" w:line="200" w:lineRule="exact"/>
        <w:rPr>
          <w:sz w:val="20"/>
          <w:szCs w:val="20"/>
          <w:color w:val="auto"/>
        </w:rPr>
      </w:pPr>
    </w:p>
    <w:p>
      <w:pPr>
        <w:ind w:left="540"/>
        <w:spacing w:after="0" w:line="263" w:lineRule="auto"/>
        <w:rPr>
          <w:sz w:val="20"/>
          <w:szCs w:val="20"/>
          <w:color w:val="auto"/>
        </w:rPr>
      </w:pPr>
      <w:r>
        <w:rPr>
          <w:rFonts w:ascii="Arial" w:cs="Arial" w:eastAsia="Arial" w:hAnsi="Arial"/>
          <w:sz w:val="18"/>
          <w:szCs w:val="18"/>
          <w:color w:val="auto"/>
        </w:rPr>
        <w:t>unpaid balance of our indebtedness is bearing interest at a rate of as of . We anticipate an estimated $ in additional charges for breakage related to the repayment of such indebtedness. As such, interest expense will be reduced by $ million as a result of the lower borrowings outstanding.</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40"/>
          </w:cols>
          <w:pgMar w:left="320" w:top="459"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80" w:type="dxa"/>
            <w:vAlign w:val="bottom"/>
            <w:gridSpan w:val="5"/>
          </w:tcPr>
          <w:p>
            <w:pPr>
              <w:ind w:left="1920"/>
              <w:spacing w:after="0"/>
              <w:rPr>
                <w:sz w:val="20"/>
                <w:szCs w:val="20"/>
                <w:color w:val="auto"/>
              </w:rPr>
            </w:pPr>
            <w:r>
              <w:rPr>
                <w:rFonts w:ascii="Arial" w:cs="Arial" w:eastAsia="Arial" w:hAnsi="Arial"/>
                <w:sz w:val="18"/>
                <w:szCs w:val="18"/>
                <w:b w:val="1"/>
                <w:bCs w:val="1"/>
                <w:color w:val="auto"/>
              </w:rPr>
              <w:t>UNAUDITED PRO FORMA CONSOLIDATED BALANCE SHEET (AS OF</w:t>
            </w:r>
          </w:p>
        </w:tc>
        <w:tc>
          <w:tcPr>
            <w:tcW w:w="1960" w:type="dxa"/>
            <w:vAlign w:val="bottom"/>
          </w:tcPr>
          <w:p>
            <w:pPr>
              <w:ind w:left="500"/>
              <w:spacing w:after="0"/>
              <w:rPr>
                <w:sz w:val="20"/>
                <w:szCs w:val="20"/>
                <w:color w:val="auto"/>
              </w:rPr>
            </w:pPr>
            <w:r>
              <w:rPr>
                <w:rFonts w:ascii="Arial" w:cs="Arial" w:eastAsia="Arial" w:hAnsi="Arial"/>
                <w:sz w:val="18"/>
                <w:szCs w:val="18"/>
                <w:b w:val="1"/>
                <w:bCs w:val="1"/>
                <w:color w:val="auto"/>
              </w:rPr>
              <w:t>, 2021)</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18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1960" w:type="dxa"/>
            <w:vAlign w:val="bottom"/>
          </w:tcPr>
          <w:p>
            <w:pPr>
              <w:spacing w:after="0"/>
              <w:rPr>
                <w:sz w:val="24"/>
                <w:szCs w:val="24"/>
                <w:color w:val="auto"/>
              </w:rPr>
            </w:pPr>
          </w:p>
        </w:tc>
        <w:tc>
          <w:tcPr>
            <w:tcW w:w="9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Transactions</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19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Offering</w:t>
            </w:r>
          </w:p>
        </w:tc>
        <w:tc>
          <w:tcPr>
            <w:tcW w:w="98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1860" w:type="dxa"/>
            <w:vAlign w:val="bottom"/>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Healthcare</w:t>
            </w:r>
          </w:p>
        </w:tc>
        <w:tc>
          <w:tcPr>
            <w:tcW w:w="1960" w:type="dxa"/>
            <w:vAlign w:val="bottom"/>
            <w:vMerge w:val="continue"/>
          </w:tcPr>
          <w:p>
            <w:pPr>
              <w:spacing w:after="0"/>
              <w:rPr>
                <w:sz w:val="12"/>
                <w:szCs w:val="12"/>
                <w:color w:val="auto"/>
              </w:rPr>
            </w:pPr>
          </w:p>
        </w:tc>
        <w:tc>
          <w:tcPr>
            <w:tcW w:w="98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OpCo</w:t>
            </w:r>
          </w:p>
        </w:tc>
        <w:tc>
          <w:tcPr>
            <w:tcW w:w="1860" w:type="dxa"/>
            <w:vAlign w:val="bottom"/>
          </w:tcPr>
          <w:p>
            <w:pPr>
              <w:ind w:left="680"/>
              <w:spacing w:after="0"/>
              <w:rPr>
                <w:sz w:val="20"/>
                <w:szCs w:val="20"/>
                <w:color w:val="auto"/>
              </w:rPr>
            </w:pPr>
            <w:r>
              <w:rPr>
                <w:rFonts w:ascii="Arial" w:cs="Arial" w:eastAsia="Arial" w:hAnsi="Arial"/>
                <w:sz w:val="14"/>
                <w:szCs w:val="14"/>
                <w:b w:val="1"/>
                <w:bCs w:val="1"/>
                <w:color w:val="auto"/>
              </w:rPr>
              <w:t>adjustments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Corp.</w:t>
            </w:r>
          </w:p>
        </w:tc>
        <w:tc>
          <w:tcPr>
            <w:tcW w:w="1960" w:type="dxa"/>
            <w:vAlign w:val="bottom"/>
          </w:tcPr>
          <w:p>
            <w:pPr>
              <w:ind w:left="22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040" w:type="dxa"/>
            <w:vAlign w:val="bottom"/>
            <w:tcBorders>
              <w:top w:val="single" w:sz="8" w:color="auto"/>
            </w:tcBorders>
            <w:gridSpan w:val="3"/>
          </w:tcPr>
          <w:p>
            <w:pPr>
              <w:ind w:left="142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9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w w:val="94"/>
              </w:rPr>
              <w:t>Accounts receivable, net</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w w:val="87"/>
              </w:rPr>
              <w:t>Total current assets</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w w:val="97"/>
              </w:rPr>
              <w:t>Property and equipment, net</w:t>
            </w: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Deferred contract costs, net of current portion</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0"/>
              </w:rPr>
              <w:t>(2)</w:t>
            </w: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880" w:type="dxa"/>
            <w:vAlign w:val="bottom"/>
          </w:tcPr>
          <w:p>
            <w:pPr>
              <w:spacing w:after="0"/>
              <w:rPr>
                <w:sz w:val="19"/>
                <w:szCs w:val="19"/>
                <w:color w:val="auto"/>
              </w:rPr>
            </w:pPr>
          </w:p>
        </w:tc>
        <w:tc>
          <w:tcPr>
            <w:tcW w:w="880" w:type="dxa"/>
            <w:vAlign w:val="bottom"/>
          </w:tcPr>
          <w:p>
            <w:pPr>
              <w:jc w:val="right"/>
              <w:ind w:right="698"/>
              <w:spacing w:after="0"/>
              <w:rPr>
                <w:sz w:val="20"/>
                <w:szCs w:val="20"/>
                <w:color w:val="auto"/>
              </w:rPr>
            </w:pPr>
            <w:r>
              <w:rPr>
                <w:rFonts w:ascii="Arial" w:cs="Arial" w:eastAsia="Arial" w:hAnsi="Arial"/>
                <w:sz w:val="18"/>
                <w:szCs w:val="18"/>
                <w:color w:val="auto"/>
                <w:w w:val="79"/>
              </w:rPr>
              <w:t>$</w:t>
            </w: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12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ind w:left="860"/>
              <w:spacing w:after="0"/>
              <w:rPr>
                <w:sz w:val="20"/>
                <w:szCs w:val="20"/>
                <w:color w:val="auto"/>
              </w:rPr>
            </w:pPr>
            <w:r>
              <w:rPr>
                <w:rFonts w:ascii="Arial" w:cs="Arial" w:eastAsia="Arial" w:hAnsi="Arial"/>
                <w:sz w:val="18"/>
                <w:szCs w:val="18"/>
                <w:color w:val="auto"/>
              </w:rPr>
              <w:t>(1)(3)</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Members’ distribution payable</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Current portion of deferred revenue</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term loan</w:t>
            </w: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Term loan, net current portion</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Tax receivable liability</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jc w:val="center"/>
              <w:ind w:left="215"/>
              <w:spacing w:after="0"/>
              <w:rPr>
                <w:sz w:val="20"/>
                <w:szCs w:val="20"/>
                <w:color w:val="auto"/>
              </w:rPr>
            </w:pPr>
            <w:r>
              <w:rPr>
                <w:rFonts w:ascii="Arial" w:cs="Arial" w:eastAsia="Arial" w:hAnsi="Arial"/>
                <w:sz w:val="18"/>
                <w:szCs w:val="18"/>
                <w:color w:val="auto"/>
                <w:w w:val="90"/>
              </w:rPr>
              <w:t>(4)</w:t>
            </w: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Other long-term liabilities</w:t>
            </w:r>
          </w:p>
        </w:tc>
        <w:tc>
          <w:tcPr>
            <w:tcW w:w="18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6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0"/>
              </w:rPr>
              <w:t>(7)</w:t>
            </w:r>
          </w:p>
        </w:tc>
        <w:tc>
          <w:tcPr>
            <w:tcW w:w="1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Class A Common Stock (</w:t>
            </w:r>
          </w:p>
        </w:tc>
        <w:tc>
          <w:tcPr>
            <w:tcW w:w="1880" w:type="dxa"/>
            <w:vAlign w:val="bottom"/>
          </w:tcPr>
          <w:p>
            <w:pPr>
              <w:jc w:val="right"/>
              <w:ind w:right="810"/>
              <w:spacing w:after="0" w:line="201" w:lineRule="exact"/>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authorized, shares issued and outstanding on a</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pro forma basis at</w:t>
            </w:r>
          </w:p>
        </w:tc>
        <w:tc>
          <w:tcPr>
            <w:tcW w:w="1880" w:type="dxa"/>
            <w:vAlign w:val="bottom"/>
          </w:tcPr>
          <w:p>
            <w:pPr>
              <w:jc w:val="right"/>
              <w:ind w:right="1290"/>
              <w:spacing w:after="0"/>
              <w:rPr>
                <w:sz w:val="20"/>
                <w:szCs w:val="20"/>
                <w:color w:val="auto"/>
              </w:rPr>
            </w:pPr>
            <w:r>
              <w:rPr>
                <w:rFonts w:ascii="Arial" w:cs="Arial" w:eastAsia="Arial" w:hAnsi="Arial"/>
                <w:sz w:val="18"/>
                <w:szCs w:val="18"/>
                <w:color w:val="auto"/>
                <w:w w:val="85"/>
              </w:rPr>
              <w:t>, 2021)</w:t>
            </w:r>
          </w:p>
        </w:tc>
        <w:tc>
          <w:tcPr>
            <w:tcW w:w="880" w:type="dxa"/>
            <w:vAlign w:val="bottom"/>
          </w:tcPr>
          <w:p>
            <w:pPr>
              <w:spacing w:after="0"/>
              <w:rPr>
                <w:sz w:val="20"/>
                <w:szCs w:val="20"/>
                <w:color w:val="auto"/>
              </w:rPr>
            </w:pPr>
          </w:p>
        </w:tc>
        <w:tc>
          <w:tcPr>
            <w:tcW w:w="1860" w:type="dxa"/>
            <w:vAlign w:val="bottom"/>
          </w:tcPr>
          <w:p>
            <w:pPr>
              <w:jc w:val="center"/>
              <w:ind w:left="235"/>
              <w:spacing w:after="0"/>
              <w:rPr>
                <w:sz w:val="20"/>
                <w:szCs w:val="20"/>
                <w:color w:val="auto"/>
              </w:rPr>
            </w:pPr>
            <w:r>
              <w:rPr>
                <w:rFonts w:ascii="Arial" w:cs="Arial" w:eastAsia="Arial" w:hAnsi="Arial"/>
                <w:sz w:val="18"/>
                <w:szCs w:val="18"/>
                <w:color w:val="auto"/>
                <w:w w:val="93"/>
              </w:rPr>
              <w:t>(5),(6)</w:t>
            </w:r>
          </w:p>
        </w:tc>
        <w:tc>
          <w:tcPr>
            <w:tcW w:w="1220" w:type="dxa"/>
            <w:vAlign w:val="bottom"/>
          </w:tcPr>
          <w:p>
            <w:pPr>
              <w:spacing w:after="0"/>
              <w:rPr>
                <w:sz w:val="20"/>
                <w:szCs w:val="20"/>
                <w:color w:val="auto"/>
              </w:rPr>
            </w:pPr>
          </w:p>
        </w:tc>
        <w:tc>
          <w:tcPr>
            <w:tcW w:w="1960" w:type="dxa"/>
            <w:vAlign w:val="bottom"/>
          </w:tcPr>
          <w:p>
            <w:pPr>
              <w:ind w:left="860"/>
              <w:spacing w:after="0"/>
              <w:rPr>
                <w:sz w:val="20"/>
                <w:szCs w:val="20"/>
                <w:color w:val="auto"/>
              </w:rPr>
            </w:pPr>
            <w:r>
              <w:rPr>
                <w:rFonts w:ascii="Arial" w:cs="Arial" w:eastAsia="Arial" w:hAnsi="Arial"/>
                <w:sz w:val="18"/>
                <w:szCs w:val="18"/>
                <w:color w:val="auto"/>
              </w:rPr>
              <w:t>(1)(5)(6)</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w:t>
            </w:r>
          </w:p>
        </w:tc>
        <w:tc>
          <w:tcPr>
            <w:tcW w:w="1880" w:type="dxa"/>
            <w:vAlign w:val="bottom"/>
            <w:shd w:val="clear" w:color="auto" w:fill="CCEEFF"/>
          </w:tcPr>
          <w:p>
            <w:pPr>
              <w:jc w:val="right"/>
              <w:ind w:right="810"/>
              <w:spacing w:after="0" w:line="201" w:lineRule="exact"/>
              <w:rPr>
                <w:sz w:val="20"/>
                <w:szCs w:val="20"/>
                <w:color w:val="auto"/>
              </w:rPr>
            </w:pPr>
            <w:r>
              <w:rPr>
                <w:rFonts w:ascii="Arial" w:cs="Arial" w:eastAsia="Arial" w:hAnsi="Arial"/>
                <w:sz w:val="18"/>
                <w:szCs w:val="18"/>
                <w:color w:val="auto"/>
              </w:rPr>
              <w:t>shares</w:t>
            </w:r>
          </w:p>
        </w:tc>
        <w:tc>
          <w:tcPr>
            <w:tcW w:w="8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authorized, shares issued and outstanding on a</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basis at</w:t>
            </w:r>
          </w:p>
        </w:tc>
        <w:tc>
          <w:tcPr>
            <w:tcW w:w="18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85"/>
              </w:rPr>
              <w:t>, 2021)</w:t>
            </w:r>
          </w:p>
        </w:tc>
        <w:tc>
          <w:tcPr>
            <w:tcW w:w="8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Additional paid-in capital</w:t>
            </w:r>
          </w:p>
        </w:tc>
        <w:tc>
          <w:tcPr>
            <w:tcW w:w="1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60" w:type="dxa"/>
            <w:vAlign w:val="bottom"/>
          </w:tcPr>
          <w:p>
            <w:pPr>
              <w:jc w:val="center"/>
              <w:ind w:left="215"/>
              <w:spacing w:after="0" w:line="201" w:lineRule="exact"/>
              <w:rPr>
                <w:sz w:val="20"/>
                <w:szCs w:val="20"/>
                <w:color w:val="auto"/>
              </w:rPr>
            </w:pPr>
            <w:r>
              <w:rPr>
                <w:rFonts w:ascii="Arial" w:cs="Arial" w:eastAsia="Arial" w:hAnsi="Arial"/>
                <w:sz w:val="18"/>
                <w:szCs w:val="18"/>
                <w:color w:val="auto"/>
                <w:w w:val="94"/>
              </w:rPr>
              <w:t>(1)(2)(3)(4)(5)</w:t>
            </w:r>
          </w:p>
        </w:tc>
        <w:tc>
          <w:tcPr>
            <w:tcW w:w="1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60" w:type="dxa"/>
            <w:vAlign w:val="bottom"/>
          </w:tcPr>
          <w:p>
            <w:pPr>
              <w:jc w:val="center"/>
              <w:ind w:left="215"/>
              <w:spacing w:after="0"/>
              <w:rPr>
                <w:sz w:val="20"/>
                <w:szCs w:val="20"/>
                <w:color w:val="auto"/>
              </w:rPr>
            </w:pPr>
            <w:r>
              <w:rPr>
                <w:rFonts w:ascii="Arial" w:cs="Arial" w:eastAsia="Arial" w:hAnsi="Arial"/>
                <w:sz w:val="18"/>
                <w:szCs w:val="18"/>
                <w:color w:val="auto"/>
                <w:w w:val="90"/>
              </w:rPr>
              <w:t>(7)</w:t>
            </w:r>
          </w:p>
        </w:tc>
        <w:tc>
          <w:tcPr>
            <w:tcW w:w="1220" w:type="dxa"/>
            <w:vAlign w:val="bottom"/>
          </w:tcPr>
          <w:p>
            <w:pPr>
              <w:spacing w:after="0"/>
              <w:rPr>
                <w:sz w:val="21"/>
                <w:szCs w:val="21"/>
                <w:color w:val="auto"/>
              </w:rPr>
            </w:pPr>
          </w:p>
        </w:tc>
        <w:tc>
          <w:tcPr>
            <w:tcW w:w="1960" w:type="dxa"/>
            <w:vAlign w:val="bottom"/>
          </w:tcPr>
          <w:p>
            <w:pPr>
              <w:ind w:left="860"/>
              <w:spacing w:after="0"/>
              <w:rPr>
                <w:sz w:val="20"/>
                <w:szCs w:val="20"/>
                <w:color w:val="auto"/>
              </w:rPr>
            </w:pPr>
            <w:r>
              <w:rPr>
                <w:rFonts w:ascii="Arial" w:cs="Arial" w:eastAsia="Arial" w:hAnsi="Arial"/>
                <w:sz w:val="18"/>
                <w:szCs w:val="18"/>
                <w:color w:val="auto"/>
              </w:rPr>
              <w:t>(5)(7)</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880" w:type="dxa"/>
            <w:vAlign w:val="bottom"/>
            <w:tcBorders>
              <w:bottom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60" w:type="dxa"/>
            <w:vAlign w:val="bottom"/>
          </w:tcPr>
          <w:p>
            <w:pPr>
              <w:ind w:left="860"/>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Contingently redeemable non-controlling interest</w:t>
            </w: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5"/>
              </w:rPr>
              <w:t>(5)(7)</w:t>
            </w: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(5)(6)(7)(8)</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720"/>
              <w:spacing w:after="0"/>
              <w:rPr>
                <w:sz w:val="20"/>
                <w:szCs w:val="20"/>
                <w:color w:val="auto"/>
              </w:rPr>
            </w:pPr>
            <w:r>
              <w:rPr>
                <w:rFonts w:ascii="Arial" w:cs="Arial" w:eastAsia="Arial" w:hAnsi="Arial"/>
                <w:sz w:val="18"/>
                <w:szCs w:val="18"/>
                <w:color w:val="auto"/>
              </w:rPr>
              <w:t>Total Stockholders’ Equity</w:t>
            </w:r>
          </w:p>
        </w:tc>
        <w:tc>
          <w:tcPr>
            <w:tcW w:w="880" w:type="dxa"/>
            <w:vAlign w:val="bottom"/>
            <w:tcBorders>
              <w:bottom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gridSpan w:val="2"/>
            <w:shd w:val="clear" w:color="auto" w:fill="CCEEFF"/>
          </w:tcPr>
          <w:p>
            <w:pPr>
              <w:ind w:left="1080"/>
              <w:spacing w:after="0" w:line="198" w:lineRule="exact"/>
              <w:rPr>
                <w:sz w:val="20"/>
                <w:szCs w:val="20"/>
                <w:color w:val="auto"/>
              </w:rPr>
            </w:pPr>
            <w:r>
              <w:rPr>
                <w:rFonts w:ascii="Arial" w:cs="Arial" w:eastAsia="Arial" w:hAnsi="Arial"/>
                <w:sz w:val="18"/>
                <w:szCs w:val="18"/>
                <w:b w:val="1"/>
                <w:bCs w:val="1"/>
                <w:color w:val="auto"/>
              </w:rPr>
              <w:t>Total liabilities and stockholders’</w:t>
            </w:r>
          </w:p>
        </w:tc>
        <w:tc>
          <w:tcPr>
            <w:tcW w:w="8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260"/>
              <w:spacing w:after="0"/>
              <w:rPr>
                <w:sz w:val="20"/>
                <w:szCs w:val="20"/>
                <w:color w:val="auto"/>
              </w:rPr>
            </w:pPr>
            <w:r>
              <w:rPr>
                <w:rFonts w:ascii="Arial" w:cs="Arial" w:eastAsia="Arial" w:hAnsi="Arial"/>
                <w:sz w:val="18"/>
                <w:szCs w:val="18"/>
                <w:b w:val="1"/>
                <w:bCs w:val="1"/>
                <w:color w:val="auto"/>
              </w:rPr>
              <w:t>equity</w:t>
            </w:r>
          </w:p>
        </w:tc>
        <w:tc>
          <w:tcPr>
            <w:tcW w:w="188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 to unaudited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9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534"/>
        </w:trPr>
        <w:tc>
          <w:tcPr>
            <w:tcW w:w="548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Notes to Unaudited Pro Forma Consolidated Balance Sheet (as of</w:t>
            </w: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 2021)</w:t>
            </w:r>
          </w:p>
        </w:tc>
        <w:tc>
          <w:tcPr>
            <w:tcW w:w="4280" w:type="dxa"/>
            <w:vAlign w:val="bottom"/>
          </w:tcPr>
          <w:p>
            <w:pPr>
              <w:spacing w:after="0"/>
              <w:rPr>
                <w:sz w:val="24"/>
                <w:szCs w:val="24"/>
                <w:color w:val="auto"/>
              </w:rPr>
            </w:pPr>
          </w:p>
        </w:tc>
      </w:tr>
      <w:tr>
        <w:trPr>
          <w:trHeight w:val="323"/>
        </w:trPr>
        <w:tc>
          <w:tcPr>
            <w:tcW w:w="6660" w:type="dxa"/>
            <w:vAlign w:val="bottom"/>
            <w:gridSpan w:val="4"/>
          </w:tcPr>
          <w:p>
            <w:pPr>
              <w:ind w:left="120"/>
              <w:spacing w:after="0"/>
              <w:rPr>
                <w:sz w:val="20"/>
                <w:szCs w:val="20"/>
                <w:color w:val="auto"/>
              </w:rPr>
            </w:pPr>
            <w:r>
              <w:rPr>
                <w:rFonts w:ascii="Arial" w:cs="Arial" w:eastAsia="Arial" w:hAnsi="Arial"/>
                <w:sz w:val="18"/>
                <w:szCs w:val="18"/>
                <w:color w:val="auto"/>
              </w:rPr>
              <w:t>(1)   We estimate that our net proceeds from this offering will be approximately $</w:t>
            </w:r>
          </w:p>
        </w:tc>
        <w:tc>
          <w:tcPr>
            <w:tcW w:w="4280" w:type="dxa"/>
            <w:vAlign w:val="bottom"/>
          </w:tcPr>
          <w:p>
            <w:pPr>
              <w:ind w:left="120"/>
              <w:spacing w:after="0"/>
              <w:rPr>
                <w:sz w:val="20"/>
                <w:szCs w:val="20"/>
                <w:color w:val="auto"/>
              </w:rPr>
            </w:pPr>
            <w:r>
              <w:rPr>
                <w:rFonts w:ascii="Arial" w:cs="Arial" w:eastAsia="Arial" w:hAnsi="Arial"/>
                <w:sz w:val="18"/>
                <w:szCs w:val="18"/>
                <w:color w:val="auto"/>
                <w:w w:val="90"/>
              </w:rPr>
              <w:t>, after deducting underwriting discounts and commissions</w:t>
            </w:r>
          </w:p>
        </w:tc>
      </w:tr>
      <w:tr>
        <w:trPr>
          <w:trHeight w:val="230"/>
        </w:trPr>
        <w:tc>
          <w:tcPr>
            <w:tcW w:w="2280" w:type="dxa"/>
            <w:vAlign w:val="bottom"/>
            <w:gridSpan w:val="2"/>
          </w:tcPr>
          <w:p>
            <w:pPr>
              <w:ind w:left="540"/>
              <w:spacing w:after="0"/>
              <w:rPr>
                <w:sz w:val="20"/>
                <w:szCs w:val="20"/>
                <w:color w:val="auto"/>
              </w:rPr>
            </w:pPr>
            <w:r>
              <w:rPr>
                <w:rFonts w:ascii="Arial" w:cs="Arial" w:eastAsia="Arial" w:hAnsi="Arial"/>
                <w:sz w:val="18"/>
                <w:szCs w:val="18"/>
                <w:color w:val="auto"/>
              </w:rPr>
              <w:t>of approximately $</w:t>
            </w:r>
          </w:p>
        </w:tc>
        <w:tc>
          <w:tcPr>
            <w:tcW w:w="43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 based on an assumed initial public offering price of $</w:t>
            </w:r>
          </w:p>
        </w:tc>
        <w:tc>
          <w:tcPr>
            <w:tcW w:w="4280" w:type="dxa"/>
            <w:vAlign w:val="bottom"/>
          </w:tcPr>
          <w:p>
            <w:pPr>
              <w:ind w:left="660"/>
              <w:spacing w:after="0"/>
              <w:rPr>
                <w:sz w:val="20"/>
                <w:szCs w:val="20"/>
                <w:color w:val="auto"/>
              </w:rPr>
            </w:pPr>
            <w:r>
              <w:rPr>
                <w:rFonts w:ascii="Arial" w:cs="Arial" w:eastAsia="Arial" w:hAnsi="Arial"/>
                <w:sz w:val="18"/>
                <w:szCs w:val="18"/>
                <w:color w:val="auto"/>
                <w:w w:val="98"/>
              </w:rPr>
              <w:t>per share (the midpoint of the estimated initial</w:t>
            </w:r>
          </w:p>
        </w:tc>
      </w:tr>
    </w:tbl>
    <w:p>
      <w:pPr>
        <w:ind w:left="54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offering price range set forth on the cover page of this prospectus) and assuming the underwriters’ option to purchase additional shares of Class A common stock is not exercised. If the underwriters exercise their option to purchase additional shares of Class A common stock in full,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right="660"/>
        <w:spacing w:after="0" w:line="277" w:lineRule="auto"/>
        <w:rPr>
          <w:sz w:val="20"/>
          <w:szCs w:val="20"/>
          <w:color w:val="auto"/>
        </w:rPr>
      </w:pPr>
      <w:r>
        <w:rPr>
          <w:rFonts w:ascii="Arial" w:cs="Arial" w:eastAsia="Arial" w:hAnsi="Arial"/>
          <w:sz w:val="18"/>
          <w:szCs w:val="18"/>
          <w:color w:val="auto"/>
        </w:rPr>
        <w:t>expect to receive approximately $ of net proceeds based on an assumed initial public offering price of $ per share (the midpoint of the estimated initial public offering price range set forth on the cover page of this prospectus).</w:t>
      </w:r>
    </w:p>
    <w:p>
      <w:pPr>
        <w:sectPr>
          <w:pgSz w:w="11900" w:h="16838" w:orient="portrait"/>
          <w:cols w:equalWidth="0" w:num="1">
            <w:col w:w="11120"/>
          </w:cols>
          <w:pgMar w:left="320" w:top="446" w:right="459" w:bottom="1440" w:gutter="0" w:footer="0" w:header="0"/>
        </w:sectPr>
      </w:pP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We estimate that the offering expenses (other than the underwriting discount and commissions) will be approximately $ offering expenses will be paid for or otherwise borne by Definitive OpCo.</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 All of such</w:t>
      </w:r>
    </w:p>
    <w:p>
      <w:pPr>
        <w:spacing w:after="0" w:line="344" w:lineRule="exact"/>
        <w:rPr>
          <w:sz w:val="20"/>
          <w:szCs w:val="20"/>
          <w:color w:val="auto"/>
        </w:rPr>
      </w:pPr>
    </w:p>
    <w:p>
      <w:pPr>
        <w:sectPr>
          <w:pgSz w:w="11900" w:h="16838" w:orient="portrait"/>
          <w:cols w:equalWidth="0" w:num="2">
            <w:col w:w="9160" w:space="720"/>
            <w:col w:w="1240"/>
          </w:cols>
          <w:pgMar w:left="320" w:top="446" w:right="459" w:bottom="1440" w:gutter="0" w:footer="0" w:header="0"/>
          <w:type w:val="continuous"/>
        </w:sectPr>
      </w:pPr>
    </w:p>
    <w:p>
      <w:pPr>
        <w:ind w:left="560" w:right="300"/>
        <w:spacing w:after="0" w:line="287" w:lineRule="auto"/>
        <w:rPr>
          <w:sz w:val="20"/>
          <w:szCs w:val="20"/>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acquire newly issued LLC Units from Definitive OpCo at a purchase price per LLC Unit equal to the initial public offering price of Class A common stock, after deducting the underwriting discounts and commissions, collectively</w:t>
      </w:r>
    </w:p>
    <w:p>
      <w:pPr>
        <w:spacing w:after="0" w:line="2" w:lineRule="exact"/>
        <w:rPr>
          <w:sz w:val="20"/>
          <w:szCs w:val="20"/>
          <w:color w:val="auto"/>
        </w:rPr>
      </w:pPr>
    </w:p>
    <w:p>
      <w:pPr>
        <w:ind w:left="560" w:right="600"/>
        <w:spacing w:after="0" w:line="260" w:lineRule="auto"/>
        <w:rPr>
          <w:sz w:val="20"/>
          <w:szCs w:val="20"/>
          <w:color w:val="auto"/>
        </w:rPr>
      </w:pPr>
      <w:r>
        <w:rPr>
          <w:rFonts w:ascii="Arial" w:cs="Arial" w:eastAsia="Arial" w:hAnsi="Arial"/>
          <w:sz w:val="18"/>
          <w:szCs w:val="18"/>
          <w:color w:val="auto"/>
        </w:rPr>
        <w:t>representing % of Definitive OpCo’s outstanding LLC Units (or %, if the underwriters exercise their option to purchase additional shares of Class A common stock in full).</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Definitive OpCo currently intends to use the proceeds from the issuance of LLC Units to Definitive Healthcare Corp. to (i) pay fees and expenses</w:t>
      </w:r>
    </w:p>
    <w:p>
      <w:pPr>
        <w:spacing w:after="0" w:line="46" w:lineRule="exact"/>
        <w:rPr>
          <w:sz w:val="20"/>
          <w:szCs w:val="20"/>
          <w:color w:val="auto"/>
        </w:rPr>
      </w:pPr>
    </w:p>
    <w:p>
      <w:pPr>
        <w:ind w:left="560"/>
        <w:spacing w:after="0"/>
        <w:tabs>
          <w:tab w:leader="none" w:pos="2620" w:val="left"/>
        </w:tabs>
        <w:rPr>
          <w:sz w:val="20"/>
          <w:szCs w:val="20"/>
          <w:color w:val="auto"/>
        </w:rPr>
      </w:pPr>
      <w:r>
        <w:rPr>
          <w:rFonts w:ascii="Arial" w:cs="Arial" w:eastAsia="Arial" w:hAnsi="Arial"/>
          <w:sz w:val="18"/>
          <w:szCs w:val="18"/>
          <w:color w:val="auto"/>
        </w:rPr>
        <w:t>of approximately $</w:t>
      </w:r>
      <w:r>
        <w:rPr>
          <w:sz w:val="20"/>
          <w:szCs w:val="20"/>
          <w:color w:val="auto"/>
        </w:rPr>
        <w:tab/>
      </w:r>
      <w:r>
        <w:rPr>
          <w:rFonts w:ascii="Arial" w:cs="Arial" w:eastAsia="Arial" w:hAnsi="Arial"/>
          <w:sz w:val="16"/>
          <w:szCs w:val="16"/>
          <w:color w:val="auto"/>
        </w:rPr>
        <w:t>in connection with this offering and (ii) as otherwise set forth in “Use of Proceeds.” See “Use of Proceeds.”</w:t>
      </w:r>
    </w:p>
    <w:p>
      <w:pPr>
        <w:spacing w:after="0" w:line="116" w:lineRule="exact"/>
        <w:rPr>
          <w:sz w:val="20"/>
          <w:szCs w:val="20"/>
          <w:color w:val="auto"/>
        </w:rPr>
      </w:pPr>
    </w:p>
    <w:p>
      <w:pPr>
        <w:ind w:left="540" w:right="260" w:hanging="424"/>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subject to U.S. federal, state and local income taxes and will file income tax returns for U.S. federal and certain state and local jurisdictions. This adjustment reflects the recognition of deferred taxes in connection with the Reorganization Transaction assuming the federal rates currently in effect and the highest statutory rates apportioned to each state and local jurisdiction.</w:t>
      </w:r>
    </w:p>
    <w:p>
      <w:pPr>
        <w:spacing w:after="0" w:line="76" w:lineRule="exact"/>
        <w:rPr>
          <w:sz w:val="20"/>
          <w:szCs w:val="20"/>
          <w:color w:val="auto"/>
        </w:rPr>
      </w:pPr>
    </w:p>
    <w:p>
      <w:pPr>
        <w:ind w:left="560" w:right="120"/>
        <w:spacing w:after="0" w:line="255" w:lineRule="auto"/>
        <w:rPr>
          <w:sz w:val="20"/>
          <w:szCs w:val="20"/>
          <w:color w:val="auto"/>
        </w:rPr>
      </w:pPr>
      <w:r>
        <w:rPr>
          <w:rFonts w:ascii="Arial" w:cs="Arial" w:eastAsia="Arial" w:hAnsi="Arial"/>
          <w:sz w:val="18"/>
          <w:szCs w:val="18"/>
          <w:color w:val="auto"/>
        </w:rPr>
        <w:t>We have recorded a pro forma deferred tax asset adjustment of $ (or $ if the underwriters exercise in full their option to purchase additional shares of Class A common stock). The deferred tax asset includes (i) $ related to temporary differences in the book basis as compared to the tax basis of our investment in Definitive OpCo, and (ii) $ (or $ if the underwriters exercise in full</w:t>
      </w:r>
    </w:p>
    <w:p>
      <w:pPr>
        <w:spacing w:after="0" w:line="3" w:lineRule="exact"/>
        <w:rPr>
          <w:sz w:val="20"/>
          <w:szCs w:val="20"/>
          <w:color w:val="auto"/>
        </w:rPr>
      </w:pPr>
    </w:p>
    <w:p>
      <w:pPr>
        <w:ind w:left="560" w:right="120"/>
        <w:spacing w:after="0" w:line="253" w:lineRule="auto"/>
        <w:rPr>
          <w:sz w:val="20"/>
          <w:szCs w:val="20"/>
          <w:color w:val="auto"/>
        </w:rPr>
      </w:pPr>
      <w:r>
        <w:rPr>
          <w:rFonts w:ascii="Arial" w:cs="Arial" w:eastAsia="Arial" w:hAnsi="Arial"/>
          <w:sz w:val="18"/>
          <w:szCs w:val="18"/>
          <w:color w:val="auto"/>
        </w:rPr>
        <w:t>their option to purchase additional shares of Class A common stock) related to tax benefits from future deductions attributable to payments under the Tax Receivable Agreements as described further in Note (4) below. To the extent we determine it is more likely than not that we will not realize the full benefit represented by the deferred tax asset, we will record an appropriate valuation allowance based on an analysis of the objective or subjective negative evidence.</w:t>
      </w:r>
    </w:p>
    <w:p>
      <w:pPr>
        <w:spacing w:after="0" w:line="98" w:lineRule="exact"/>
        <w:rPr>
          <w:sz w:val="20"/>
          <w:szCs w:val="20"/>
          <w:color w:val="auto"/>
        </w:rPr>
      </w:pPr>
    </w:p>
    <w:p>
      <w:pPr>
        <w:ind w:left="540" w:right="500" w:hanging="424"/>
        <w:spacing w:after="0" w:line="263"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are deferring certain costs associated with this offering. These costs primarily represent legal, accounting and other direct costs and are recorded in other assets in our consolidated balance sheet. Upon completion of this offering, these deferred costs will be charged against the proceeds from this offering with a corresponding reduction to additional paid-in capital.</w:t>
      </w:r>
    </w:p>
    <w:p>
      <w:pPr>
        <w:spacing w:after="0" w:line="89" w:lineRule="exact"/>
        <w:rPr>
          <w:sz w:val="20"/>
          <w:szCs w:val="20"/>
          <w:color w:val="auto"/>
        </w:rPr>
      </w:pPr>
    </w:p>
    <w:p>
      <w:pPr>
        <w:ind w:left="540" w:right="80" w:hanging="419"/>
        <w:spacing w:after="0" w:line="258" w:lineRule="auto"/>
        <w:tabs>
          <w:tab w:leader="none" w:pos="520" w:val="left"/>
        </w:tabs>
        <w:rPr>
          <w:sz w:val="20"/>
          <w:szCs w:val="20"/>
          <w:color w:val="auto"/>
        </w:rPr>
      </w:pPr>
      <w:r>
        <w:rPr>
          <w:rFonts w:ascii="Arial" w:cs="Arial" w:eastAsia="Arial" w:hAnsi="Arial"/>
          <w:sz w:val="18"/>
          <w:szCs w:val="18"/>
          <w:color w:val="auto"/>
        </w:rPr>
        <w:t>(4)</w:t>
        <w:tab/>
        <w:t>Reflects the recognition of a liability of $ (or $ if the underwriters exercise in full their option to purchase additional shares of Class A common stock), which represents % of the full obligation for applicable deferred tax assets under the terms of the Tax Receivable</w:t>
      </w:r>
    </w:p>
    <w:p>
      <w:pPr>
        <w:spacing w:after="0" w:line="1" w:lineRule="exact"/>
        <w:rPr>
          <w:sz w:val="20"/>
          <w:szCs w:val="20"/>
          <w:color w:val="auto"/>
        </w:rPr>
      </w:pPr>
    </w:p>
    <w:p>
      <w:pPr>
        <w:ind w:left="540" w:right="100"/>
        <w:spacing w:after="0" w:line="271" w:lineRule="auto"/>
        <w:rPr>
          <w:sz w:val="20"/>
          <w:szCs w:val="20"/>
          <w:color w:val="auto"/>
        </w:rPr>
      </w:pPr>
      <w:r>
        <w:rPr>
          <w:rFonts w:ascii="Arial" w:cs="Arial" w:eastAsia="Arial" w:hAnsi="Arial"/>
          <w:sz w:val="17"/>
          <w:szCs w:val="17"/>
          <w:color w:val="auto"/>
        </w:rPr>
        <w:t>Agreements that we will enter into upon completion of this offering. Upon the completion of this offering, we will be a party to one or more Tax Receivable Agreements with the TRA Parties. Under the Tax Receivable Agreements, we generally will be required to pay 85% of the applicable cash savings, if any, in U.S. federal, state and local income tax that we actually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46" w:right="45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interests in Definitive OpCo by the Blocker Companies), (ii) tax basis adjustments resulting from future redemptions or exchanges of LLC Units by Continuing Pre-IPO LLC Members for cash or Class A common stock and (iii) certain payments made under the Tax Receivable Agreements. We will retain the benefit of the remaining 15% of these tax savings. Our obligations under the Tax Receivable Agreements will also apply with respect to any person who is issued LLC Units in the future and who becomes a party to the Tax Receivable Agreement. See “Organizational Structure—Holding Company Structure and the Tax Receivable Agreements.” The adjustment relates solely to the Blocker Companies’ pre-existing net operating losses and the unamortized portion of the increase in tax basis in the tangible and intangible assets of Definitive OpCo, which resulted from the prior acquisitions of interests in Definitive OpCo by them. No adjustment has been made to reflect future redemptions or exchanges of Definitive OpCo units for cash or shares of our Class A common stock, as applicable, nor for certain future payments made under the Tax Receivable Agreements.</w:t>
      </w:r>
    </w:p>
    <w:p>
      <w:pPr>
        <w:spacing w:after="0" w:line="102" w:lineRule="exact"/>
        <w:rPr>
          <w:sz w:val="20"/>
          <w:szCs w:val="20"/>
          <w:color w:val="auto"/>
        </w:rPr>
      </w:pPr>
    </w:p>
    <w:p>
      <w:pPr>
        <w:jc w:val="both"/>
        <w:ind w:left="540" w:right="140" w:hanging="424"/>
        <w:spacing w:after="0" w:line="291"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upon completion of the Reorganization Transactions, this offering and the application of the net proceeds from this offering, we will be appointed as the managing member of Definitive</w:t>
      </w:r>
    </w:p>
    <w:p>
      <w:pPr>
        <w:ind w:left="540" w:right="40"/>
        <w:spacing w:after="0" w:line="255" w:lineRule="auto"/>
        <w:rPr>
          <w:sz w:val="20"/>
          <w:szCs w:val="20"/>
          <w:color w:val="auto"/>
        </w:rPr>
      </w:pPr>
      <w:r>
        <w:rPr>
          <w:rFonts w:ascii="Arial" w:cs="Arial" w:eastAsia="Arial" w:hAnsi="Arial"/>
          <w:sz w:val="18"/>
          <w:szCs w:val="18"/>
          <w:color w:val="auto"/>
        </w:rPr>
        <w:t>OpCo and will hold LLC Units, constituting % of the outstanding economic interests in Definitive OpCo (or LLC Units, constituting % of the outstanding economic interests in Definitive OpCo if the underwriters exercise their option to purchase additional shares of Class A common stock in full).</w:t>
      </w:r>
    </w:p>
    <w:p>
      <w:pPr>
        <w:sectPr>
          <w:pgSz w:w="11900" w:h="16838" w:orient="portrait"/>
          <w:cols w:equalWidth="0" w:num="1">
            <w:col w:w="11140"/>
          </w:cols>
          <w:pgMar w:left="320" w:top="459" w:right="439" w:bottom="1440" w:gutter="0" w:footer="0" w:header="0"/>
        </w:sectPr>
      </w:pPr>
    </w:p>
    <w:p>
      <w:pPr>
        <w:spacing w:after="0" w:line="82"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Represents an adjustment to equity reflecting (i) par value for Class A common stock and (ii) a decrease in $ to allocate a portion of Definitive OpCo’s equity to the noncontrolling interests.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of additional paid-in capital</w:t>
      </w:r>
    </w:p>
    <w:p>
      <w:pPr>
        <w:spacing w:after="0" w:line="369" w:lineRule="exact"/>
        <w:rPr>
          <w:sz w:val="20"/>
          <w:szCs w:val="20"/>
          <w:color w:val="auto"/>
        </w:rPr>
      </w:pPr>
    </w:p>
    <w:p>
      <w:pPr>
        <w:sectPr>
          <w:pgSz w:w="11900" w:h="16838" w:orient="portrait"/>
          <w:cols w:equalWidth="0" w:num="2">
            <w:col w:w="8420" w:space="720"/>
            <w:col w:w="2000"/>
          </w:cols>
          <w:pgMar w:left="320" w:top="459" w:right="439" w:bottom="1440" w:gutter="0" w:footer="0" w:header="0"/>
          <w:type w:val="continuous"/>
        </w:sectPr>
      </w:pPr>
    </w:p>
    <w:p>
      <w:pPr>
        <w:ind w:left="540" w:hanging="419"/>
        <w:spacing w:after="0" w:line="286" w:lineRule="auto"/>
        <w:tabs>
          <w:tab w:leader="none" w:pos="520" w:val="left"/>
        </w:tabs>
        <w:rPr>
          <w:sz w:val="20"/>
          <w:szCs w:val="20"/>
          <w:color w:val="auto"/>
        </w:rPr>
      </w:pPr>
      <w:r>
        <w:rPr>
          <w:rFonts w:ascii="Arial" w:cs="Arial" w:eastAsia="Arial" w:hAnsi="Arial"/>
          <w:sz w:val="17"/>
          <w:szCs w:val="17"/>
          <w:color w:val="auto"/>
        </w:rPr>
        <w:t>(6)</w:t>
        <w:tab/>
        <w:t>Represents an adjustment to stockholders’ equity reflecting (i) par value of $ for Class A common stock and $ common stock to be outstanding following the Reorganization Transactions and the Offering Adjustments and (ii) a decrease of $ members’ equity to allocate a portion of Definitive Healthcare Corp.’s equity to the noncontrolling interest.</w:t>
      </w:r>
    </w:p>
    <w:p>
      <w:pPr>
        <w:spacing w:after="0" w:line="20" w:lineRule="exact"/>
        <w:rPr>
          <w:sz w:val="20"/>
          <w:szCs w:val="20"/>
          <w:color w:val="auto"/>
        </w:rPr>
      </w:pPr>
      <w:r>
        <w:rPr>
          <w:sz w:val="20"/>
          <w:szCs w:val="20"/>
          <w:color w:val="auto"/>
        </w:rPr>
        <w:br w:type="column"/>
      </w:r>
    </w:p>
    <w:p>
      <w:pPr>
        <w:jc w:val="right"/>
        <w:ind w:right="360"/>
        <w:spacing w:after="0" w:line="277" w:lineRule="auto"/>
        <w:rPr>
          <w:sz w:val="20"/>
          <w:szCs w:val="20"/>
          <w:color w:val="auto"/>
        </w:rPr>
      </w:pPr>
      <w:r>
        <w:rPr>
          <w:rFonts w:ascii="Arial" w:cs="Arial" w:eastAsia="Arial" w:hAnsi="Arial"/>
          <w:sz w:val="18"/>
          <w:szCs w:val="18"/>
          <w:color w:val="auto"/>
        </w:rPr>
        <w:t>for Class B in</w:t>
      </w:r>
    </w:p>
    <w:p>
      <w:pPr>
        <w:spacing w:after="0" w:line="292" w:lineRule="exact"/>
        <w:rPr>
          <w:sz w:val="20"/>
          <w:szCs w:val="20"/>
          <w:color w:val="auto"/>
        </w:rPr>
      </w:pPr>
    </w:p>
    <w:p>
      <w:pPr>
        <w:sectPr>
          <w:pgSz w:w="11900" w:h="16838" w:orient="portrait"/>
          <w:cols w:equalWidth="0" w:num="2">
            <w:col w:w="9860" w:space="80"/>
            <w:col w:w="1200"/>
          </w:cols>
          <w:pgMar w:left="320" w:top="459" w:right="439" w:bottom="1440" w:gutter="0" w:footer="0" w:header="0"/>
          <w:type w:val="continuous"/>
        </w:sect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following table is a reconciliation of the adjustments impacting additional paid-in-capital:</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from recognition of deferred tax asset</w:t>
            </w:r>
          </w:p>
        </w:tc>
        <w:tc>
          <w:tcPr>
            <w:tcW w:w="20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Gross proceeds from offering of Class A common stock</w:t>
            </w:r>
          </w:p>
        </w:tc>
        <w:tc>
          <w:tcPr>
            <w:tcW w:w="20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Payment of underwriting discounts and commissions in connection with this offering</w:t>
            </w:r>
          </w:p>
        </w:tc>
        <w:tc>
          <w:tcPr>
            <w:tcW w:w="202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Reclassification of costs incurred in this offering from other assets to additional paid-in capital</w:t>
            </w:r>
          </w:p>
        </w:tc>
        <w:tc>
          <w:tcPr>
            <w:tcW w:w="20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redeemable noncontrolling interest</w:t>
            </w:r>
          </w:p>
        </w:tc>
        <w:tc>
          <w:tcPr>
            <w:tcW w:w="2020" w:type="dxa"/>
            <w:vAlign w:val="bottom"/>
            <w:shd w:val="clear" w:color="auto" w:fill="CCEEFF"/>
          </w:tcPr>
          <w:p>
            <w:pPr>
              <w:spacing w:after="0"/>
              <w:rPr>
                <w:sz w:val="18"/>
                <w:szCs w:val="18"/>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Total</w:t>
            </w:r>
          </w:p>
        </w:tc>
        <w:tc>
          <w:tcPr>
            <w:tcW w:w="2020" w:type="dxa"/>
            <w:vAlign w:val="bottom"/>
          </w:tcPr>
          <w:p>
            <w:pPr>
              <w:jc w:val="right"/>
              <w:ind w:right="55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40" w:right="20" w:hanging="424"/>
        <w:spacing w:after="0" w:line="289"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under the Amended LLC Agreement, holders of LLC Units, including the Continuing Pre-IPO LLC Members, will have the right, from and after the completion of this offering (subject to the terms of the Amended LLC Agreement), to require Definitive OpCo to redeem all or a portion of their LLC Units for, at our election, newly issued shares of Class A common stock on a one-for-one basis or a cash payment equal to the volume-weighted average market price of one share of our Class A common stock for each LLC Unit redeemed (subject to customary adjustments, including for stock splits, stock dividends and reclassifications) in accordance with the terms of the Amended LLC Agreement. Additionally, in the event of a redemption request from a holder of LLC Units, we may, at our option, effect a direct exchange of cash or Class A common stock for LLC Units in lieu of such a redemption. Shares of Class B common stock will be cancelled on a one-for-one basis if we, following a redemption request from a holder of LLC Units, redeem or exchange LLC Units of such holder pursuant to the terms of the Amended LLC Agreement.</w:t>
      </w:r>
    </w:p>
    <w:p>
      <w:pPr>
        <w:spacing w:after="0" w:line="72" w:lineRule="exact"/>
        <w:rPr>
          <w:sz w:val="20"/>
          <w:szCs w:val="20"/>
          <w:color w:val="auto"/>
        </w:rPr>
      </w:pPr>
    </w:p>
    <w:p>
      <w:pPr>
        <w:ind w:left="120"/>
        <w:spacing w:after="0"/>
        <w:tabs>
          <w:tab w:leader="none" w:pos="520" w:val="left"/>
          <w:tab w:leader="none" w:pos="4500" w:val="left"/>
        </w:tabs>
        <w:rPr>
          <w:sz w:val="20"/>
          <w:szCs w:val="20"/>
          <w:color w:val="auto"/>
        </w:rPr>
      </w:pPr>
      <w:r>
        <w:rPr>
          <w:rFonts w:ascii="Arial" w:cs="Arial" w:eastAsia="Arial" w:hAnsi="Arial"/>
          <w:sz w:val="18"/>
          <w:szCs w:val="18"/>
          <w:color w:val="auto"/>
        </w:rPr>
        <w:t>(9)</w:t>
        <w:tab/>
        <w:t>We expect to incur a total of approximately $</w:t>
      </w:r>
      <w:r>
        <w:rPr>
          <w:sz w:val="20"/>
          <w:szCs w:val="20"/>
          <w:color w:val="auto"/>
        </w:rPr>
        <w:tab/>
      </w:r>
      <w:r>
        <w:rPr>
          <w:rFonts w:ascii="Arial" w:cs="Arial" w:eastAsia="Arial" w:hAnsi="Arial"/>
          <w:sz w:val="16"/>
          <w:szCs w:val="16"/>
          <w:color w:val="auto"/>
        </w:rPr>
        <w:t>million in expenses in connection with this offering, which we do not expect to recur.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relates to periods prior to the Reorganization Transactions described in “Organizational Structure” and do not give effect to pro forma adjustments. As a result, the following discussion does not reflect the significant impact that such events will have on us. See “Organizational Structure” and “Unaudited Pro Forma Consolidated Financial Information” for more information.</w:t>
      </w:r>
    </w:p>
    <w:p>
      <w:pPr>
        <w:spacing w:after="0" w:line="12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We assume no obligation to update any of these forward-looking statements.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Definitive Healthcare provides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2,500 customers as of December 31, 2020. We define a customer as a company that maintains one or more active paid subscriptions to our platform.</w:t>
      </w:r>
    </w:p>
    <w:p>
      <w:pPr>
        <w:spacing w:after="0" w:line="15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113665</wp:posOffset>
            </wp:positionV>
            <wp:extent cx="4663440" cy="22631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634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view these attributes as key to our financial model:</w:t>
      </w:r>
    </w:p>
    <w:p>
      <w:pPr>
        <w:spacing w:after="0" w:line="131" w:lineRule="exact"/>
        <w:rPr>
          <w:sz w:val="20"/>
          <w:szCs w:val="20"/>
          <w:color w:val="auto"/>
        </w:rPr>
      </w:pPr>
    </w:p>
    <w:p>
      <w:pPr>
        <w:ind w:left="540" w:right="340" w:hanging="316"/>
        <w:spacing w:after="0" w:line="27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December 31, 2019, respectively, representing an increase of 38%.</w:t>
      </w:r>
    </w:p>
    <w:p>
      <w:pPr>
        <w:spacing w:after="0" w:line="75" w:lineRule="exact"/>
        <w:rPr>
          <w:rFonts w:ascii="Arial" w:cs="Arial" w:eastAsia="Arial" w:hAnsi="Arial"/>
          <w:sz w:val="18"/>
          <w:szCs w:val="18"/>
          <w:color w:val="auto"/>
        </w:rPr>
      </w:pPr>
    </w:p>
    <w:p>
      <w:pPr>
        <w:ind w:left="540" w:right="160" w:hanging="316"/>
        <w:spacing w:after="0" w:line="273"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Subscription-based Business Model with Significant Visibility. </w:t>
      </w:r>
      <w:r>
        <w:rPr>
          <w:rFonts w:ascii="Arial" w:cs="Arial" w:eastAsia="Arial" w:hAnsi="Arial"/>
          <w:sz w:val="17"/>
          <w:szCs w:val="17"/>
          <w:color w:val="auto"/>
        </w:rPr>
        <w:t>We offer access to our platform on a subscription basis and we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substantially all of our revenue from subscription fees, which accounted for 99% of revenue for 2020. Subscriptions generally range from 1 to 3 years and are non-cancellable during the subscription term. Over 61% of our year end 2020 ARR was under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79" w:lineRule="exact"/>
        <w:rPr>
          <w:rFonts w:ascii="Arial" w:cs="Arial" w:eastAsia="Arial" w:hAnsi="Arial"/>
          <w:sz w:val="17"/>
          <w:szCs w:val="17"/>
          <w:color w:val="auto"/>
        </w:rPr>
      </w:pPr>
    </w:p>
    <w:p>
      <w:pPr>
        <w:ind w:left="540" w:right="20" w:hanging="316"/>
        <w:spacing w:after="0" w:line="256"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2,500 companies use our platform to help sell into or compete in the healthcare ecosystem as of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For the year ended December 31, 2020,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year end 2020, as measured by ARR, 45% of our customers operated in Life Sciences; 22% of our customers operated in HCIT; 7% of our customers were Healthcare Providers; and 26% of our customers operated in diversified areas.</w:t>
      </w:r>
    </w:p>
    <w:p>
      <w:pPr>
        <w:spacing w:after="0" w:line="96"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Retention and Growth of Existing Customers. </w:t>
      </w:r>
      <w:r>
        <w:rPr>
          <w:rFonts w:ascii="Arial" w:cs="Arial" w:eastAsia="Arial" w:hAnsi="Arial"/>
          <w:sz w:val="18"/>
          <w:szCs w:val="18"/>
          <w:color w:val="auto"/>
        </w:rPr>
        <w:t>Our ability to grow customer relationships is reflected in our Net Dollar Retention 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Enterprise Customers. For 2020, our NDR for all customers over $17,500 in ARR was 108%. For the year ended December 31, 2020, our NDR for Enterprise Customers was 124%. In 2020, 292 customers generated more than $100,000 in ARR, representing 53% of our total ARR. See “—Key Metrics-Net Dollar Retention Rate” below.</w:t>
      </w:r>
    </w:p>
    <w:p>
      <w:pPr>
        <w:spacing w:after="0" w:line="92" w:lineRule="exact"/>
        <w:rPr>
          <w:rFonts w:ascii="Arial" w:cs="Arial" w:eastAsia="Arial" w:hAnsi="Arial"/>
          <w:sz w:val="18"/>
          <w:szCs w:val="18"/>
          <w:color w:val="auto"/>
        </w:rPr>
      </w:pPr>
    </w:p>
    <w:p>
      <w:pPr>
        <w:ind w:left="540" w:right="320" w:hanging="316"/>
        <w:spacing w:after="0" w:line="259"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Efficient Go-to-Market Engine. </w:t>
      </w:r>
      <w:r>
        <w:rPr>
          <w:rFonts w:ascii="Arial" w:cs="Arial" w:eastAsia="Arial" w:hAnsi="Arial"/>
          <w:sz w:val="18"/>
          <w:szCs w:val="18"/>
          <w:color w:val="auto"/>
        </w:rPr>
        <w:t>We have developed a highly efficient and effective go-to-market engine that combines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w:t>
      </w:r>
    </w:p>
    <w:p>
      <w:pPr>
        <w:spacing w:after="0" w:line="92" w:lineRule="exact"/>
        <w:rPr>
          <w:rFonts w:ascii="Arial" w:cs="Arial" w:eastAsia="Arial" w:hAnsi="Arial"/>
          <w:sz w:val="18"/>
          <w:szCs w:val="18"/>
          <w:color w:val="auto"/>
        </w:rPr>
      </w:pPr>
    </w:p>
    <w:p>
      <w:pPr>
        <w:ind w:left="540" w:right="40" w:hanging="316"/>
        <w:spacing w:after="0" w:line="270"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Strong Financial Performance. </w:t>
      </w:r>
      <w:r>
        <w:rPr>
          <w:rFonts w:ascii="Arial" w:cs="Arial" w:eastAsia="Arial" w:hAnsi="Arial"/>
          <w:sz w:val="17"/>
          <w:szCs w:val="17"/>
          <w:color w:val="auto"/>
        </w:rPr>
        <w:t>Our net loss was $51.2 million for the year ended December 31, 2020 as compared to a net loss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$49.3 million for the period from July 16, 2019 to December 31, 2019 and net income of $12.9 million for the period from January 1, 2019 to July 15, 2019. 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resulting in Adjusted Gross Margins of 91% and 89%, respectively. Our Adjusted EBITDA was $53.5 million for the year ended December 31, 2020, as compared to $42.3 million in 2019, reflecting Adjusted EBITDA Margins of 45% and 49%, respectively. We delivered strong financial performance even as we invested for growth and scalability. See “Summary Historical and Pro Forma Consolidated Financial and Other Data” and “—Key Metrics” below for additional information regarding our non-GAAP numbers and a reconciliation to the corresponding GAAP metric.</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platform currently offers 13 intelligence modules. As of December 31, 2020, 79%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define Adjusted Gross Profit as revenue less cost of revenue (excluding acquisition-related depreciation and amortization) and a small quantity of stock based compensation. Adjusted Gross Profit differs from Gross 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a reconciliation of Gross Profit to Adjusted Gross Profit and Adjusted Gross Margin for the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9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gridSpan w:val="4"/>
            <w:vMerge w:val="restart"/>
          </w:tcPr>
          <w:p>
            <w:pPr>
              <w:jc w:val="right"/>
              <w:ind w:right="455"/>
              <w:spacing w:after="0"/>
              <w:rPr>
                <w:sz w:val="20"/>
                <w:szCs w:val="20"/>
                <w:color w:val="auto"/>
              </w:rPr>
            </w:pPr>
            <w:r>
              <w:rPr>
                <w:rFonts w:ascii="Arial" w:cs="Arial" w:eastAsia="Arial" w:hAnsi="Arial"/>
                <w:sz w:val="14"/>
                <w:szCs w:val="14"/>
                <w:b w:val="1"/>
                <w:bCs w:val="1"/>
                <w:color w:val="auto"/>
              </w:rPr>
              <w:t>Successor Company</w:t>
            </w: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9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4"/>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Period from</w:t>
            </w:r>
          </w:p>
        </w:tc>
        <w:tc>
          <w:tcPr>
            <w:tcW w:w="5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80" w:type="dxa"/>
            <w:vAlign w:val="bottom"/>
            <w:gridSpan w:val="3"/>
          </w:tcPr>
          <w:p>
            <w:pPr>
              <w:jc w:val="center"/>
              <w:ind w:left="448"/>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560" w:type="dxa"/>
            <w:vAlign w:val="bottom"/>
            <w:tcBorders>
              <w:right w:val="single" w:sz="8" w:color="auto"/>
            </w:tcBorders>
          </w:tcPr>
          <w:p>
            <w:pPr>
              <w:spacing w:after="0"/>
              <w:rPr>
                <w:sz w:val="12"/>
                <w:szCs w:val="12"/>
                <w:color w:val="auto"/>
              </w:rPr>
            </w:pPr>
          </w:p>
        </w:tc>
        <w:tc>
          <w:tcPr>
            <w:tcW w:w="1980" w:type="dxa"/>
            <w:vAlign w:val="bottom"/>
            <w:gridSpan w:val="4"/>
          </w:tcPr>
          <w:p>
            <w:pPr>
              <w:jc w:val="center"/>
              <w:ind w:left="808"/>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 in thousands)</w:t>
            </w:r>
          </w:p>
        </w:tc>
        <w:tc>
          <w:tcPr>
            <w:tcW w:w="2980" w:type="dxa"/>
            <w:vAlign w:val="bottom"/>
            <w:vMerge w:val="restart"/>
          </w:tcPr>
          <w:p>
            <w:pPr>
              <w:spacing w:after="0"/>
              <w:rPr>
                <w:sz w:val="12"/>
                <w:szCs w:val="12"/>
                <w:color w:val="auto"/>
              </w:rPr>
            </w:pPr>
          </w:p>
        </w:tc>
        <w:tc>
          <w:tcPr>
            <w:tcW w:w="132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to July 15,</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89"/>
              </w:rPr>
              <w:t>2019</w:t>
            </w:r>
          </w:p>
        </w:tc>
        <w:tc>
          <w:tcPr>
            <w:tcW w:w="560" w:type="dxa"/>
            <w:vAlign w:val="bottom"/>
            <w:tcBorders>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Reported gross profit</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87,849</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26,763</w:t>
            </w:r>
          </w:p>
        </w:tc>
        <w:tc>
          <w:tcPr>
            <w:tcW w:w="560" w:type="dxa"/>
            <w:vAlign w:val="bottom"/>
            <w:tcBorders>
              <w:top w:val="single" w:sz="8" w:color="CCEEFF"/>
              <w:right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intangible assets resulting from</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purchase accounting adjustments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19,169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8,602</w:t>
            </w:r>
          </w:p>
        </w:tc>
        <w:tc>
          <w:tcPr>
            <w:tcW w:w="56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107,080</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35,393</w:t>
            </w:r>
          </w:p>
        </w:tc>
        <w:tc>
          <w:tcPr>
            <w:tcW w:w="56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40,884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56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Adjusted Gross Margin</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56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9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34"/>
              <w:spacing w:after="0"/>
              <w:rPr>
                <w:sz w:val="20"/>
                <w:szCs w:val="20"/>
                <w:color w:val="auto"/>
              </w:rPr>
            </w:pPr>
            <w:r>
              <w:rPr>
                <w:rFonts w:ascii="Arial" w:cs="Arial" w:eastAsia="Arial" w:hAnsi="Arial"/>
                <w:sz w:val="18"/>
                <w:szCs w:val="18"/>
                <w:color w:val="auto"/>
                <w:w w:val="99"/>
              </w:rPr>
              <w:t>86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The following table presents a reconciliation of gross margin to Adjusted Gross Margin for the periods presented:</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60" w:type="dxa"/>
            <w:vAlign w:val="bottom"/>
            <w:gridSpan w:val="4"/>
            <w:vMerge w:val="restart"/>
          </w:tcPr>
          <w:p>
            <w:pPr>
              <w:jc w:val="right"/>
              <w:ind w:right="453"/>
              <w:spacing w:after="0"/>
              <w:rPr>
                <w:sz w:val="20"/>
                <w:szCs w:val="20"/>
                <w:color w:val="auto"/>
              </w:rPr>
            </w:pPr>
            <w:r>
              <w:rPr>
                <w:rFonts w:ascii="Arial" w:cs="Arial" w:eastAsia="Arial" w:hAnsi="Arial"/>
                <w:sz w:val="14"/>
                <w:szCs w:val="14"/>
                <w:b w:val="1"/>
                <w:bCs w:val="1"/>
                <w:color w:val="auto"/>
              </w:rPr>
              <w:t>Successor Company</w:t>
            </w: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rPr>
              <w:t>Period from</w:t>
            </w:r>
          </w:p>
        </w:tc>
        <w:tc>
          <w:tcPr>
            <w:tcW w:w="56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6"/>
              <w:spacing w:after="0" w:line="119" w:lineRule="exact"/>
              <w:rPr>
                <w:sz w:val="20"/>
                <w:szCs w:val="20"/>
                <w:color w:val="auto"/>
              </w:rPr>
            </w:pPr>
            <w:r>
              <w:rPr>
                <w:rFonts w:ascii="Arial" w:cs="Arial" w:eastAsia="Arial" w:hAnsi="Arial"/>
                <w:sz w:val="13"/>
                <w:szCs w:val="13"/>
                <w:b w:val="1"/>
                <w:bCs w:val="1"/>
                <w:color w:val="auto"/>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80" w:type="dxa"/>
            <w:vAlign w:val="bottom"/>
            <w:gridSpan w:val="3"/>
          </w:tcPr>
          <w:p>
            <w:pPr>
              <w:jc w:val="center"/>
              <w:ind w:left="434"/>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560" w:type="dxa"/>
            <w:vAlign w:val="bottom"/>
            <w:tcBorders>
              <w:right w:val="single" w:sz="8" w:color="auto"/>
            </w:tcBorders>
          </w:tcPr>
          <w:p>
            <w:pPr>
              <w:spacing w:after="0"/>
              <w:rPr>
                <w:sz w:val="12"/>
                <w:szCs w:val="12"/>
                <w:color w:val="auto"/>
              </w:rPr>
            </w:pPr>
          </w:p>
        </w:tc>
        <w:tc>
          <w:tcPr>
            <w:tcW w:w="1980" w:type="dxa"/>
            <w:vAlign w:val="bottom"/>
            <w:gridSpan w:val="4"/>
          </w:tcPr>
          <w:p>
            <w:pPr>
              <w:jc w:val="center"/>
              <w:ind w:left="794"/>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48"/>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320" w:type="dxa"/>
            <w:vAlign w:val="bottom"/>
            <w:gridSpan w:val="3"/>
          </w:tcPr>
          <w:p>
            <w:pPr>
              <w:jc w:val="center"/>
              <w:ind w:left="35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to July 15,</w:t>
            </w:r>
          </w:p>
        </w:tc>
        <w:tc>
          <w:tcPr>
            <w:tcW w:w="0" w:type="dxa"/>
            <w:vAlign w:val="bottom"/>
          </w:tcPr>
          <w:p>
            <w:pPr>
              <w:spacing w:after="0"/>
              <w:rPr>
                <w:sz w:val="1"/>
                <w:szCs w:val="1"/>
                <w:color w:val="auto"/>
              </w:rPr>
            </w:pPr>
          </w:p>
        </w:tc>
      </w:tr>
      <w:tr>
        <w:trPr>
          <w:trHeight w:val="178"/>
        </w:trPr>
        <w:tc>
          <w:tcPr>
            <w:tcW w:w="392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93"/>
              <w:spacing w:after="0" w:line="158" w:lineRule="exact"/>
              <w:rPr>
                <w:sz w:val="20"/>
                <w:szCs w:val="20"/>
                <w:color w:val="auto"/>
              </w:rPr>
            </w:pPr>
            <w:r>
              <w:rPr>
                <w:rFonts w:ascii="Arial" w:cs="Arial" w:eastAsia="Arial" w:hAnsi="Arial"/>
                <w:sz w:val="14"/>
                <w:szCs w:val="14"/>
                <w:b w:val="1"/>
                <w:bCs w:val="1"/>
                <w:color w:val="auto"/>
                <w:w w:val="96"/>
              </w:rPr>
              <w:t>2020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89"/>
              </w:rPr>
              <w:t>2019</w:t>
            </w:r>
          </w:p>
        </w:tc>
        <w:tc>
          <w:tcPr>
            <w:tcW w:w="560" w:type="dxa"/>
            <w:vAlign w:val="bottom"/>
            <w:tcBorders>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9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118,317</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40,045</w:t>
            </w:r>
          </w:p>
        </w:tc>
        <w:tc>
          <w:tcPr>
            <w:tcW w:w="560" w:type="dxa"/>
            <w:vAlign w:val="bottom"/>
            <w:tcBorders>
              <w:top w:val="single" w:sz="8" w:color="CCEEFF"/>
              <w:right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45,458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56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gross profit</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560" w:type="dxa"/>
            <w:vAlign w:val="bottom"/>
            <w:tcBorders>
              <w:right w:val="single" w:sz="8" w:color="auto"/>
            </w:tcBorders>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56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560" w:type="dxa"/>
            <w:vAlign w:val="bottom"/>
            <w:tcBorders>
              <w:right w:val="single" w:sz="8" w:color="auto"/>
            </w:tcBorders>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56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gross profit</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560" w:type="dxa"/>
            <w:vAlign w:val="bottom"/>
            <w:tcBorders>
              <w:right w:val="single" w:sz="8" w:color="auto"/>
            </w:tcBorders>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intangible assets resulting from</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purchase accounting adjustments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19,169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8,602</w:t>
            </w:r>
          </w:p>
        </w:tc>
        <w:tc>
          <w:tcPr>
            <w:tcW w:w="56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Adjusted Gross Profit</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107,080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35,393</w:t>
            </w:r>
          </w:p>
        </w:tc>
        <w:tc>
          <w:tcPr>
            <w:tcW w:w="560" w:type="dxa"/>
            <w:vAlign w:val="bottom"/>
            <w:tcBorders>
              <w:right w:val="single" w:sz="8" w:color="auto"/>
            </w:tcBorders>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56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Adjusted Gross Margin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56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-2228215</wp:posOffset>
            </wp:positionV>
            <wp:extent cx="25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-2228215</wp:posOffset>
            </wp:positionV>
            <wp:extent cx="254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-1842135</wp:posOffset>
            </wp:positionV>
            <wp:extent cx="25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-1842135</wp:posOffset>
            </wp:positionV>
            <wp:extent cx="25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-1559560</wp:posOffset>
            </wp:positionV>
            <wp:extent cx="254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-1559560</wp:posOffset>
            </wp:positionV>
            <wp:extent cx="25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-1268095</wp:posOffset>
            </wp:positionV>
            <wp:extent cx="254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-1268095</wp:posOffset>
            </wp:positionV>
            <wp:extent cx="25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-976630</wp:posOffset>
            </wp:positionV>
            <wp:extent cx="254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-976630</wp:posOffset>
            </wp:positionV>
            <wp:extent cx="25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2" w:lineRule="exact"/>
        <w:rPr>
          <w:sz w:val="20"/>
          <w:szCs w:val="20"/>
          <w:color w:val="auto"/>
        </w:rPr>
      </w:pPr>
    </w:p>
    <w:p>
      <w:pPr>
        <w:ind w:left="120" w:right="340" w:hanging="4"/>
        <w:spacing w:after="0" w:line="323" w:lineRule="auto"/>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reconciliation of Net (Loss) Income to Adjusted EBITDA for the periods presented:</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gridSpan w:val="4"/>
            <w:vMerge w:val="restart"/>
          </w:tcPr>
          <w:p>
            <w:pPr>
              <w:jc w:val="center"/>
              <w:ind w:left="295"/>
              <w:spacing w:after="0"/>
              <w:rPr>
                <w:sz w:val="20"/>
                <w:szCs w:val="20"/>
                <w:color w:val="auto"/>
              </w:rPr>
            </w:pPr>
            <w:r>
              <w:rPr>
                <w:rFonts w:ascii="Arial" w:cs="Arial" w:eastAsia="Arial" w:hAnsi="Arial"/>
                <w:sz w:val="14"/>
                <w:szCs w:val="14"/>
                <w:b w:val="1"/>
                <w:bCs w:val="1"/>
                <w:color w:val="auto"/>
                <w:w w:val="95"/>
              </w:rPr>
              <w:t>Definitive OpCo</w:t>
            </w: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center"/>
              <w:ind w:left="295"/>
              <w:spacing w:after="0" w:line="149" w:lineRule="exact"/>
              <w:rPr>
                <w:sz w:val="20"/>
                <w:szCs w:val="20"/>
                <w:color w:val="auto"/>
              </w:rPr>
            </w:pPr>
            <w:r>
              <w:rPr>
                <w:rFonts w:ascii="Arial" w:cs="Arial" w:eastAsia="Arial" w:hAnsi="Arial"/>
                <w:sz w:val="14"/>
                <w:szCs w:val="14"/>
                <w:b w:val="1"/>
                <w:bCs w:val="1"/>
                <w:color w:val="auto"/>
              </w:rPr>
              <w:t>(AIDH TopCo, LLC)</w:t>
            </w:r>
          </w:p>
        </w:tc>
        <w:tc>
          <w:tcPr>
            <w:tcW w:w="5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4"/>
                <w:szCs w:val="14"/>
                <w:b w:val="1"/>
                <w:bCs w:val="1"/>
                <w:color w:val="auto"/>
                <w:w w:val="89"/>
              </w:rPr>
              <w:t>Successor Company</w:t>
            </w:r>
          </w:p>
        </w:tc>
        <w:tc>
          <w:tcPr>
            <w:tcW w:w="560" w:type="dxa"/>
            <w:vAlign w:val="bottom"/>
            <w:tcBorders>
              <w:bottom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Predecessor 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64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80" w:type="dxa"/>
            <w:vAlign w:val="bottom"/>
            <w:tcBorders>
              <w:right w:val="single" w:sz="8" w:color="auto"/>
            </w:tcBorders>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600" w:type="dxa"/>
            <w:vAlign w:val="bottom"/>
            <w:tcBorders>
              <w:right w:val="single" w:sz="8" w:color="auto"/>
            </w:tcBorders>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58"/>
        </w:trPr>
        <w:tc>
          <w:tcPr>
            <w:tcW w:w="322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1240" w:type="dxa"/>
            <w:vAlign w:val="bottom"/>
            <w:gridSpan w:val="3"/>
          </w:tcPr>
          <w:p>
            <w:pPr>
              <w:jc w:val="center"/>
              <w:ind w:left="188"/>
              <w:spacing w:after="0" w:line="158" w:lineRule="exact"/>
              <w:rPr>
                <w:sz w:val="20"/>
                <w:szCs w:val="20"/>
                <w:color w:val="auto"/>
              </w:rPr>
            </w:pPr>
            <w:r>
              <w:rPr>
                <w:rFonts w:ascii="Arial" w:cs="Arial" w:eastAsia="Arial" w:hAnsi="Arial"/>
                <w:sz w:val="14"/>
                <w:szCs w:val="14"/>
                <w:b w:val="1"/>
                <w:bCs w:val="1"/>
                <w:color w:val="auto"/>
                <w:w w:val="96"/>
              </w:rPr>
              <w:t>2019</w:t>
            </w:r>
          </w:p>
        </w:tc>
        <w:tc>
          <w:tcPr>
            <w:tcW w:w="64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right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(loss) income</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(51,157)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(49,266)</w:t>
            </w:r>
          </w:p>
        </w:tc>
        <w:tc>
          <w:tcPr>
            <w:tcW w:w="64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12,868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36,490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18,204</w:t>
            </w:r>
          </w:p>
        </w:tc>
        <w:tc>
          <w:tcPr>
            <w:tcW w:w="6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30,617</w:t>
            </w:r>
          </w:p>
        </w:tc>
        <w:tc>
          <w:tcPr>
            <w:tcW w:w="6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15"/>
                <w:szCs w:val="15"/>
                <w:color w:val="auto"/>
              </w:rPr>
              <w:t>(a)</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15"/>
                <w:szCs w:val="15"/>
                <w:color w:val="auto"/>
              </w:rPr>
              <w:t>(b)</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M&amp;A related expenses</w:t>
            </w:r>
            <w:r>
              <w:rPr>
                <w:rFonts w:ascii="Arial" w:cs="Arial" w:eastAsia="Arial" w:hAnsi="Arial"/>
                <w:sz w:val="15"/>
                <w:szCs w:val="15"/>
                <w:color w:val="auto"/>
              </w:rPr>
              <w:t>(c)</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14,703</w:t>
            </w:r>
          </w:p>
        </w:tc>
        <w:tc>
          <w:tcPr>
            <w:tcW w:w="6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and one-time items</w:t>
            </w:r>
            <w:r>
              <w:rPr>
                <w:rFonts w:ascii="Arial" w:cs="Arial" w:eastAsia="Arial" w:hAnsi="Arial"/>
                <w:sz w:val="15"/>
                <w:szCs w:val="15"/>
                <w:color w:val="auto"/>
              </w:rPr>
              <w:t>(d)</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6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18,651</w:t>
            </w:r>
          </w:p>
        </w:tc>
        <w:tc>
          <w:tcPr>
            <w:tcW w:w="6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540" w:right="520" w:hanging="424"/>
        <w:spacing w:after="0" w:line="250"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M&amp;A related expenses primarily represent legal, accounting and consulting expenses related to our acquisitions.</w:t>
      </w:r>
    </w:p>
    <w:p>
      <w:pPr>
        <w:spacing w:after="0" w:line="9"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151765</wp:posOffset>
            </wp:positionV>
            <wp:extent cx="4791710" cy="20231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9171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Remaining Performance Obligations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cRPO as of December 31,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80" w:type="dxa"/>
            <w:vAlign w:val="bottom"/>
            <w:gridSpan w:val="4"/>
          </w:tcPr>
          <w:p>
            <w:pPr>
              <w:ind w:left="60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5040" w:type="dxa"/>
            <w:vAlign w:val="bottom"/>
          </w:tcPr>
          <w:p>
            <w:pPr>
              <w:spacing w:after="0"/>
              <w:rPr>
                <w:sz w:val="10"/>
                <w:szCs w:val="10"/>
                <w:color w:val="auto"/>
              </w:rPr>
            </w:pPr>
          </w:p>
        </w:tc>
        <w:tc>
          <w:tcPr>
            <w:tcW w:w="1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860" w:type="dxa"/>
            <w:vAlign w:val="bottom"/>
            <w:gridSpan w:val="2"/>
          </w:tcPr>
          <w:p>
            <w:pPr>
              <w:jc w:val="right"/>
              <w:ind w:right="184"/>
              <w:spacing w:after="0" w:line="158"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5"/>
                <w:szCs w:val="15"/>
                <w:color w:val="auto"/>
              </w:rPr>
            </w:pPr>
          </w:p>
        </w:tc>
        <w:tc>
          <w:tcPr>
            <w:tcW w:w="840" w:type="dxa"/>
            <w:vAlign w:val="bottom"/>
          </w:tcPr>
          <w:p>
            <w:pPr>
              <w:jc w:val="right"/>
              <w:ind w:right="204"/>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cRPO</w:t>
            </w:r>
          </w:p>
        </w:tc>
        <w:tc>
          <w:tcPr>
            <w:tcW w:w="50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114,284</w:t>
            </w:r>
          </w:p>
        </w:tc>
        <w:tc>
          <w:tcPr>
            <w:tcW w:w="7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82,291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40" w:type="dxa"/>
            <w:vAlign w:val="bottom"/>
          </w:tcPr>
          <w:p>
            <w:pPr>
              <w:spacing w:after="0"/>
              <w:rPr>
                <w:sz w:val="24"/>
                <w:szCs w:val="24"/>
                <w:color w:val="auto"/>
              </w:rPr>
            </w:pPr>
          </w:p>
        </w:tc>
        <w:tc>
          <w:tcPr>
            <w:tcW w:w="5040" w:type="dxa"/>
            <w:vAlign w:val="bottom"/>
          </w:tcPr>
          <w:p>
            <w:pPr>
              <w:jc w:val="right"/>
              <w:ind w:right="1519"/>
              <w:spacing w:after="0"/>
              <w:rPr>
                <w:sz w:val="20"/>
                <w:szCs w:val="20"/>
                <w:color w:val="auto"/>
              </w:rPr>
            </w:pPr>
            <w:r>
              <w:rPr>
                <w:rFonts w:ascii="Arial" w:cs="Arial" w:eastAsia="Arial" w:hAnsi="Arial"/>
                <w:sz w:val="18"/>
                <w:szCs w:val="18"/>
                <w:color w:val="auto"/>
              </w:rPr>
              <w:t>88</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Acquisitions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Advent Acquisition</w:t>
      </w:r>
    </w:p>
    <w:p>
      <w:pPr>
        <w:spacing w:after="0" w:line="121"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7"/>
          <w:szCs w:val="17"/>
          <w:color w:val="auto"/>
        </w:rPr>
        <w:t>On July 16, 2019, Advent acquired us for $1,699.6 million, consisting of $1,129.3 million of cash and $570.3 million in equity. The acquisition was accounted for as a business combination. Accordingly, we applied 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Credit Agreement (as defined herein) which provides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historical results of operations discussed in this “Management’s Discussion and Analysis of Financial Condition and Results of Operations” are those of Definitive OpCo prior to the completion of the Reorganization Transactions, including this offering, and do not reflect certain items that we expect will affect our results of operations and financial condition after giving effect to the Reorganization Transactions and the use of proceeds from this offering.</w:t>
      </w:r>
    </w:p>
    <w:p>
      <w:pPr>
        <w:spacing w:after="0" w:line="18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Following the completion of the Reorganization Transactions, Definitive Healthcare Corp. will become the sole managing member of Definitive OpCo. We will have the sole voting interest in, and control the management of, Definitive OpCo. As a result, we will consolidate the financial results of Definitive OpCo and will report a noncontrolling interest related to the LLC Units held by the Continuing Pre-IPO LLC Members on our consolidated statements of operations and comprehensive income (loss). Immediately after the Transactions, investors in this offering will collectively</w:t>
      </w:r>
    </w:p>
    <w:p>
      <w:pPr>
        <w:spacing w:after="0" w:line="1"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color w:val="auto"/>
        </w:rPr>
        <w:t>own % of our outstanding Class A common stock, consisting of shares (or shares if the underwriters exercise in full their option to purchase additional shares of Class A common stock), Definitive Healthcare Corp. will own LLC Units (or LLC Units if the underwriters exercise in full their option to purchase additional shares of Class A common stock), representing % of the LLC Units (or % if the underwriters</w:t>
      </w:r>
    </w:p>
    <w:p>
      <w:pPr>
        <w:ind w:left="120"/>
        <w:spacing w:after="0"/>
        <w:rPr>
          <w:sz w:val="20"/>
          <w:szCs w:val="20"/>
          <w:color w:val="auto"/>
        </w:rPr>
      </w:pPr>
      <w:r>
        <w:rPr>
          <w:rFonts w:ascii="Arial" w:cs="Arial" w:eastAsia="Arial" w:hAnsi="Arial"/>
          <w:sz w:val="17"/>
          <w:szCs w:val="17"/>
          <w:color w:val="auto"/>
        </w:rPr>
        <w:t>exercise in full their option to purchase additional shares of Class A common stock) and the Continuing Pre-IPO LLC Members will collectively</w:t>
      </w:r>
    </w:p>
    <w:p>
      <w:pPr>
        <w:spacing w:after="0" w:line="21" w:lineRule="exact"/>
        <w:rPr>
          <w:sz w:val="20"/>
          <w:szCs w:val="20"/>
          <w:color w:val="auto"/>
        </w:rPr>
      </w:pPr>
    </w:p>
    <w:p>
      <w:pPr>
        <w:ind w:left="120" w:right="720"/>
        <w:spacing w:after="0" w:line="260" w:lineRule="auto"/>
        <w:rPr>
          <w:sz w:val="20"/>
          <w:szCs w:val="20"/>
          <w:color w:val="auto"/>
        </w:rPr>
      </w:pPr>
      <w:r>
        <w:rPr>
          <w:rFonts w:ascii="Arial" w:cs="Arial" w:eastAsia="Arial" w:hAnsi="Arial"/>
          <w:sz w:val="18"/>
          <w:szCs w:val="18"/>
          <w:color w:val="auto"/>
        </w:rPr>
        <w:t>own LLC Units, representing % of the LLC Units (or % if the underwriters exercise in full their option to purchase additional shares of Class A common stock). Accordingly, net income (loss) attributable to</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3060" w:val="left"/>
          <w:tab w:leader="none" w:pos="10580" w:val="left"/>
        </w:tabs>
        <w:rPr>
          <w:sz w:val="20"/>
          <w:szCs w:val="20"/>
          <w:color w:val="auto"/>
        </w:rPr>
      </w:pPr>
      <w:r>
        <w:rPr>
          <w:rFonts w:ascii="Arial" w:cs="Arial" w:eastAsia="Arial" w:hAnsi="Arial"/>
          <w:sz w:val="18"/>
          <w:szCs w:val="18"/>
          <w:color w:val="auto"/>
        </w:rPr>
        <w:t>noncontrolling interests will represent</w:t>
        <w:tab/>
        <w:t>% of the income (loss) before income tax benefit (expense) of Definitive Healthcare Corp. (or</w:t>
      </w:r>
      <w:r>
        <w:rPr>
          <w:sz w:val="20"/>
          <w:szCs w:val="20"/>
          <w:color w:val="auto"/>
        </w:rPr>
        <w:tab/>
      </w:r>
      <w:r>
        <w:rPr>
          <w:rFonts w:ascii="Arial" w:cs="Arial" w:eastAsia="Arial" w:hAnsi="Arial"/>
          <w:sz w:val="17"/>
          <w:szCs w:val="17"/>
          <w:color w:val="auto"/>
        </w:rPr>
        <w:t>% if</w:t>
      </w:r>
    </w:p>
    <w:p>
      <w:pPr>
        <w:spacing w:after="0" w:line="23" w:lineRule="exact"/>
        <w:rPr>
          <w:sz w:val="20"/>
          <w:szCs w:val="20"/>
          <w:color w:val="auto"/>
        </w:rPr>
      </w:pPr>
    </w:p>
    <w:p>
      <w:pPr>
        <w:ind w:left="120" w:right="80"/>
        <w:spacing w:after="0" w:line="323" w:lineRule="auto"/>
        <w:rPr>
          <w:sz w:val="20"/>
          <w:szCs w:val="20"/>
          <w:color w:val="auto"/>
        </w:rPr>
      </w:pPr>
      <w:r>
        <w:rPr>
          <w:rFonts w:ascii="Arial" w:cs="Arial" w:eastAsia="Arial" w:hAnsi="Arial"/>
          <w:sz w:val="16"/>
          <w:szCs w:val="16"/>
          <w:color w:val="auto"/>
        </w:rPr>
        <w:t>the underwriters exercise in full their option to purchase additional shares of Class A common stock). Definitive Healthcare Corp. is a holding company that conducts no operations and, as of the consummation of this offering, its principal asset will be LLC Units we purchase from Definitive OpCo.</w:t>
      </w:r>
    </w:p>
    <w:p>
      <w:pPr>
        <w:spacing w:after="0" w:line="13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After consummation of this offering, Definitive Healthcare Corp. will become subject to U.S. federal, state and local income taxes with respect to our allocable share of any taxable income of Definitive OpCo and will be taxed at the prevailing corporate tax rates. In addition to tax expenses, we also will incur public company expenses related to our operations, plus payment obligations under the TRA, which we expect to be significant. We intend to cause Definitive OpCo to make distributions to us in an amount sufficient to allow us to pay our tax obligations and operating expenses, including distributions to fund any payments due under the TRA. See “Certain Relationships and Related Party Transactions—Amended Definitive OpCo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For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and expenses related to third party subscription services that manage our billing.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3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5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primarily consist of personnel costs such as salaries, bonuses, sales commissions,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primarily consist of personnel costs such as salaries, bonuses,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2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personnel costs such as salaries, bonuses,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employee-related benefits for our executive, finance, legal, human resources, IT and operations, and administrative teams, as well as non-personnel costs including overhead costs, professional fees, third party payment processor fees and other corporate expenses including expenses associated with preparation for the initial public offering. We anticipate that general and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amortization of customer relationships and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 xml:space="preserve">Transaction expenses. </w:t>
      </w:r>
      <w:r>
        <w:rPr>
          <w:rFonts w:ascii="Arial" w:cs="Arial" w:eastAsia="Arial" w:hAnsi="Arial"/>
          <w:sz w:val="18"/>
          <w:szCs w:val="18"/>
          <w:color w:val="auto"/>
        </w:rPr>
        <w:t>Transaction expenses are costs directly associated with various acquisition and integration activities we have undertaken,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accounting and legal due diligence, and consulting and advisory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expense, net consists primarily of interest expense, net and foreign currency transaction gains or loss.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consists primarily of interest expense on our debt obligations and the amortization of debt discounts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Foreign currency transaction loss</w:t>
      </w:r>
      <w:r>
        <w:rPr>
          <w:rFonts w:ascii="Arial" w:cs="Arial" w:eastAsia="Arial" w:hAnsi="Arial"/>
          <w:sz w:val="18"/>
          <w:szCs w:val="18"/>
          <w:color w:val="auto"/>
        </w:rPr>
        <w:t>. Foreign currency transaction loss consists primarily of realized and unrealized gains and losses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transactions denominated in a foreign currency. We do not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significant exposure to foreign exchange volatility and do not anticipate foreign currency transaction gains or losses to materially impact our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9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20" w:type="dxa"/>
            <w:vAlign w:val="bottom"/>
            <w:gridSpan w:val="5"/>
            <w:vMerge w:val="restart"/>
          </w:tcPr>
          <w:p>
            <w:pPr>
              <w:jc w:val="right"/>
              <w:ind w:right="692"/>
              <w:spacing w:after="0"/>
              <w:rPr>
                <w:sz w:val="20"/>
                <w:szCs w:val="20"/>
                <w:color w:val="auto"/>
              </w:rPr>
            </w:pPr>
            <w:r>
              <w:rPr>
                <w:rFonts w:ascii="Arial" w:cs="Arial" w:eastAsia="Arial" w:hAnsi="Arial"/>
                <w:sz w:val="14"/>
                <w:szCs w:val="14"/>
                <w:b w:val="1"/>
                <w:bCs w:val="1"/>
                <w:color w:val="auto"/>
              </w:rPr>
              <w:t>Successor Company</w:t>
            </w:r>
          </w:p>
        </w:tc>
        <w:tc>
          <w:tcPr>
            <w:tcW w:w="660" w:type="dxa"/>
            <w:vAlign w:val="bottom"/>
            <w:vMerge w:val="restart"/>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20" w:type="dxa"/>
            <w:vAlign w:val="bottom"/>
            <w:gridSpan w:val="5"/>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8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2"/>
              <w:spacing w:after="0" w:line="119" w:lineRule="exact"/>
              <w:rPr>
                <w:sz w:val="20"/>
                <w:szCs w:val="20"/>
                <w:color w:val="auto"/>
              </w:rPr>
            </w:pPr>
            <w:r>
              <w:rPr>
                <w:rFonts w:ascii="Arial" w:cs="Arial" w:eastAsia="Arial" w:hAnsi="Arial"/>
                <w:sz w:val="13"/>
                <w:szCs w:val="13"/>
                <w:b w:val="1"/>
                <w:bCs w:val="1"/>
                <w:color w:val="auto"/>
              </w:rPr>
              <w:t>Period from</w:t>
            </w:r>
          </w:p>
        </w:tc>
        <w:tc>
          <w:tcPr>
            <w:tcW w:w="660" w:type="dxa"/>
            <w:vAlign w:val="bottom"/>
          </w:tcPr>
          <w:p>
            <w:pPr>
              <w:spacing w:after="0"/>
              <w:rPr>
                <w:sz w:val="10"/>
                <w:szCs w:val="10"/>
                <w:color w:val="auto"/>
              </w:rPr>
            </w:pPr>
          </w:p>
        </w:tc>
        <w:tc>
          <w:tcPr>
            <w:tcW w:w="10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8"/>
              </w:rPr>
              <w:t>Year Ended</w:t>
            </w:r>
          </w:p>
        </w:tc>
        <w:tc>
          <w:tcPr>
            <w:tcW w:w="19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10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 in thousands)</w:t>
            </w:r>
          </w:p>
        </w:tc>
        <w:tc>
          <w:tcPr>
            <w:tcW w:w="22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340" w:type="dxa"/>
            <w:vAlign w:val="bottom"/>
            <w:tcBorders>
              <w:left w:val="single" w:sz="8" w:color="auto"/>
            </w:tcBorders>
            <w:gridSpan w:val="4"/>
          </w:tcPr>
          <w:p>
            <w:pPr>
              <w:jc w:val="center"/>
              <w:ind w:left="879"/>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78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w w:val="89"/>
              </w:rPr>
              <w:t>2019</w:t>
            </w:r>
          </w:p>
        </w:tc>
        <w:tc>
          <w:tcPr>
            <w:tcW w:w="660" w:type="dxa"/>
            <w:vAlign w:val="bottom"/>
          </w:tcPr>
          <w:p>
            <w:pPr>
              <w:spacing w:after="0"/>
              <w:rPr>
                <w:sz w:val="15"/>
                <w:szCs w:val="15"/>
                <w:color w:val="auto"/>
              </w:rPr>
            </w:pPr>
          </w:p>
        </w:tc>
        <w:tc>
          <w:tcPr>
            <w:tcW w:w="10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118,317</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40,045</w:t>
            </w:r>
          </w:p>
        </w:tc>
        <w:tc>
          <w:tcPr>
            <w:tcW w:w="6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45,458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Cost of revenue exclusive of</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amortization shown below</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660" w:type="dxa"/>
            <w:vAlign w:val="bottom"/>
            <w:shd w:val="clear" w:color="auto" w:fill="CCEEFF"/>
          </w:tcPr>
          <w:p>
            <w:pPr>
              <w:spacing w:after="0"/>
              <w:rPr>
                <w:sz w:val="20"/>
                <w:szCs w:val="20"/>
                <w:color w:val="auto"/>
              </w:rPr>
            </w:pPr>
          </w:p>
        </w:tc>
        <w:tc>
          <w:tcPr>
            <w:tcW w:w="108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660" w:type="dxa"/>
            <w:vAlign w:val="bottom"/>
          </w:tcPr>
          <w:p>
            <w:pPr>
              <w:spacing w:after="0"/>
              <w:rPr>
                <w:sz w:val="19"/>
                <w:szCs w:val="19"/>
                <w:color w:val="auto"/>
              </w:rPr>
            </w:pPr>
          </w:p>
        </w:tc>
        <w:tc>
          <w:tcPr>
            <w:tcW w:w="108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7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87,849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26,763</w:t>
            </w: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10,814</w:t>
            </w: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6,365</w:t>
            </w: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22,459</w:t>
            </w: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Transaction expenses</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660" w:type="dxa"/>
            <w:vAlign w:val="bottom"/>
          </w:tcPr>
          <w:p>
            <w:pPr>
              <w:spacing w:after="0"/>
              <w:rPr>
                <w:sz w:val="19"/>
                <w:szCs w:val="19"/>
                <w:color w:val="auto"/>
              </w:rPr>
            </w:pPr>
          </w:p>
        </w:tc>
        <w:tc>
          <w:tcPr>
            <w:tcW w:w="108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57,825</w:t>
            </w: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720"/>
              <w:spacing w:after="0"/>
              <w:rPr>
                <w:sz w:val="20"/>
                <w:szCs w:val="20"/>
                <w:color w:val="auto"/>
              </w:rPr>
            </w:pPr>
            <w:r>
              <w:rPr>
                <w:rFonts w:ascii="Arial" w:cs="Arial" w:eastAsia="Arial" w:hAnsi="Arial"/>
                <w:sz w:val="18"/>
                <w:szCs w:val="18"/>
                <w:color w:val="auto"/>
              </w:rPr>
              <w:t>(Loss) income from operations</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Foreign currency transaction loss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(18,204)</w:t>
            </w: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3220" w:type="dxa"/>
            <w:vAlign w:val="bottom"/>
            <w:gridSpan w:val="2"/>
          </w:tcPr>
          <w:p>
            <w:pPr>
              <w:ind w:left="72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(18,204)</w:t>
            </w:r>
          </w:p>
        </w:tc>
        <w:tc>
          <w:tcPr>
            <w:tcW w:w="660" w:type="dxa"/>
            <w:vAlign w:val="bottom"/>
          </w:tcPr>
          <w:p>
            <w:pPr>
              <w:spacing w:after="0"/>
              <w:rPr>
                <w:sz w:val="20"/>
                <w:szCs w:val="20"/>
                <w:color w:val="auto"/>
              </w:rPr>
            </w:pPr>
          </w:p>
        </w:tc>
        <w:tc>
          <w:tcPr>
            <w:tcW w:w="10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(loss) income</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(49,266)</w:t>
            </w:r>
          </w:p>
        </w:tc>
        <w:tc>
          <w:tcPr>
            <w:tcW w:w="12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-2922270</wp:posOffset>
            </wp:positionV>
            <wp:extent cx="260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-2922270</wp:posOffset>
            </wp:positionV>
            <wp:extent cx="254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9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Year Ended December 31, 2020 Compared to Period from July 16, 2019 to December 31, 2019 (Successor) and Period from January 1, 2019 to July 15, 2019 (Predecessor)</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$118.3 million for the year ended December 31, 2020, compared to $40.0 million for the period from July 16,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(Successor) and $45.5 million for the period from January 1, 2019 to July 15, 2019 (Predecessor), an increase of $32.8 million, or 38%, driven by higher subscription revenue of $32.0 million. During the year ended December 31, 2020, our total customers increased by 337 from 2,243 as of December 31, 2019 to 2,580 as of December 31, 2020. Of the 38% increase in total revenue, approximately 33% was attributable to net expansion with existing customers and 5% to the addition of new customers inclusive of those acquired through the acquisition of Monocl in October 2020.</w:t>
      </w:r>
    </w:p>
    <w:p>
      <w:pPr>
        <w:spacing w:after="0" w:line="19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$30.5 million for the year ended December 31, 2020, compared to $13.3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$5.3 million for the period</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40"/>
          </w:cols>
          <w:pgMar w:left="320" w:top="459" w:right="6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from January 1, 2019 to July 15, 2019 (Predecessor), an increase of $11.9 million, or 64%. The increase was primarily due to:</w:t>
      </w:r>
    </w:p>
    <w:p>
      <w:pPr>
        <w:spacing w:after="0" w:line="131" w:lineRule="exact"/>
        <w:rPr>
          <w:sz w:val="20"/>
          <w:szCs w:val="20"/>
          <w:color w:val="auto"/>
        </w:rPr>
      </w:pPr>
    </w:p>
    <w:p>
      <w:pPr>
        <w:ind w:left="1080" w:hanging="532"/>
        <w:spacing w:after="0" w:line="279"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in cost of revenue exclusive of amortization expense of $1.6 million, or 17%, to $11.1 million for the year ended</w:t>
      </w:r>
    </w:p>
    <w:p>
      <w:pPr>
        <w:spacing w:after="0" w:line="23" w:lineRule="exact"/>
        <w:rPr>
          <w:rFonts w:ascii="Arial" w:cs="Arial" w:eastAsia="Arial" w:hAnsi="Arial"/>
          <w:sz w:val="18"/>
          <w:szCs w:val="18"/>
          <w:color w:val="auto"/>
        </w:rPr>
      </w:pPr>
    </w:p>
    <w:p>
      <w:pPr>
        <w:jc w:val="both"/>
        <w:ind w:left="1080" w:right="20"/>
        <w:spacing w:after="0" w:line="302" w:lineRule="auto"/>
        <w:rPr>
          <w:rFonts w:ascii="Arial" w:cs="Arial" w:eastAsia="Arial" w:hAnsi="Arial"/>
          <w:sz w:val="18"/>
          <w:szCs w:val="18"/>
          <w:color w:val="auto"/>
        </w:rPr>
      </w:pPr>
      <w:r>
        <w:rPr>
          <w:rFonts w:ascii="Arial" w:cs="Arial" w:eastAsia="Arial" w:hAnsi="Arial"/>
          <w:sz w:val="16"/>
          <w:szCs w:val="16"/>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$102.3 million for the year ended December 31, 2020, compared to $57.8 million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16, 2019 to December 31, 2019 (Successor) and $27.1 million for the period from January 1, 2019 to July 15, 2019 (Predecessor), an increase of $17.4 million, or 20%. The increase was primarily due to:</w:t>
      </w:r>
    </w:p>
    <w:p>
      <w:pPr>
        <w:spacing w:after="0" w:line="89" w:lineRule="exact"/>
        <w:rPr>
          <w:sz w:val="20"/>
          <w:szCs w:val="20"/>
          <w:color w:val="auto"/>
        </w:rPr>
      </w:pPr>
    </w:p>
    <w:p>
      <w:pPr>
        <w:jc w:val="both"/>
        <w:ind w:left="1080" w:right="100" w:hanging="532"/>
        <w:spacing w:after="0" w:line="279"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76" w:lineRule="exact"/>
        <w:rPr>
          <w:rFonts w:ascii="Arial" w:cs="Arial" w:eastAsia="Arial" w:hAnsi="Arial"/>
          <w:sz w:val="17"/>
          <w:szCs w:val="17"/>
          <w:color w:val="auto"/>
        </w:rPr>
      </w:pPr>
    </w:p>
    <w:p>
      <w:pPr>
        <w:ind w:left="1080" w:right="40" w:hanging="532"/>
        <w:spacing w:after="0" w:line="255"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 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97" w:lineRule="exact"/>
        <w:rPr>
          <w:rFonts w:ascii="Arial" w:cs="Arial" w:eastAsia="Arial" w:hAnsi="Arial"/>
          <w:sz w:val="18"/>
          <w:szCs w:val="18"/>
          <w:color w:val="auto"/>
        </w:rPr>
      </w:pPr>
    </w:p>
    <w:p>
      <w:pPr>
        <w:ind w:left="1080" w:right="60" w:hanging="532"/>
        <w:spacing w:after="0" w:line="286"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70" w:lineRule="exact"/>
        <w:rPr>
          <w:rFonts w:ascii="Arial" w:cs="Arial" w:eastAsia="Arial" w:hAnsi="Arial"/>
          <w:sz w:val="17"/>
          <w:szCs w:val="17"/>
          <w:color w:val="auto"/>
        </w:rPr>
      </w:pPr>
    </w:p>
    <w:p>
      <w:pPr>
        <w:ind w:left="1080" w:right="600" w:hanging="532"/>
        <w:spacing w:after="0" w:line="273"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initial public offering,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83" w:lineRule="exact"/>
        <w:rPr>
          <w:rFonts w:ascii="Arial" w:cs="Arial" w:eastAsia="Arial" w:hAnsi="Arial"/>
          <w:sz w:val="17"/>
          <w:szCs w:val="17"/>
          <w:color w:val="auto"/>
        </w:rPr>
      </w:pPr>
    </w:p>
    <w:p>
      <w:pPr>
        <w:ind w:left="1080" w:right="180" w:hanging="532"/>
        <w:spacing w:after="0" w:line="311"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was $36.7 million for the year ended December 31, 2020, compared to $18.2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$0.2 million for the period from January 1, 2019 to July 15, 2019 (Predecessor), an increase of $18.3 million, primarily due to:</w:t>
      </w:r>
    </w:p>
    <w:p>
      <w:pPr>
        <w:spacing w:after="0" w:line="89" w:lineRule="exact"/>
        <w:rPr>
          <w:sz w:val="20"/>
          <w:szCs w:val="20"/>
          <w:color w:val="auto"/>
        </w:rPr>
      </w:pPr>
    </w:p>
    <w:p>
      <w:pPr>
        <w:ind w:left="1080" w:right="2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2" w:lineRule="exact"/>
        <w:rPr>
          <w:rFonts w:ascii="Arial" w:cs="Arial" w:eastAsia="Arial" w:hAnsi="Arial"/>
          <w:sz w:val="18"/>
          <w:szCs w:val="18"/>
          <w:color w:val="auto"/>
        </w:rPr>
      </w:pPr>
    </w:p>
    <w:p>
      <w:pPr>
        <w:ind w:left="1080" w:right="120" w:hanging="532"/>
        <w:spacing w:after="0" w:line="342"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2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year ended December 31, 2020 was $51.2 million, compared to net loss of $49.3 million for the period from July 16,</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principal uses for liquidity have been working capital, capital expenditures to support the growth in our business, debt service, distributions to LLC members and acquisitions. Our capital expenditures were $1.4 million, $1.2 million and $0.7 million for the year ended December 31, 2020, for the period from July 16, 2019 to December 31, 2019 (Successor), and for the period from January 1, 2019 to July 15, 2019 (Predecessor), respectively.</w:t>
      </w:r>
    </w:p>
    <w:p>
      <w:pPr>
        <w:spacing w:after="0" w:line="14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have historically funded our operations and growth primarily with cash flow from operations and borrowings under our Credit Agreement and equity contributions from LLC members. As of December 31, 2020, we had unrestricted cash and cash equivalents of $24.8 million. Our total indebtedness, net of unamortized discount, was $461.9 million as of December 31, 2020. See “—Debt Obligations” and Note 8 of our consolidated financial statements included elsewhere in this prospectus for additional information related to our debt obligations and debt repayments.</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See Note 12 of our consolidated financial statements included elsewhere in this prospectus for additional information related to contributions and distributions from and to members of Definitive OpCo.</w:t>
      </w:r>
    </w:p>
    <w:p>
      <w:pPr>
        <w:spacing w:after="0" w:line="17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“Organizational Structure—The Reorganization Transactions.”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Agreements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contains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 In certain circumstances, Definitive OpCo will be required to make distributions to us and the other holders of LLC Units, and the distributions that Definitive OpCo will be required to make may be substantial.”</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520" w:type="dxa"/>
            <w:vAlign w:val="bottom"/>
            <w:gridSpan w:val="6"/>
            <w:vMerge w:val="restart"/>
          </w:tcPr>
          <w:p>
            <w:pPr>
              <w:jc w:val="right"/>
              <w:ind w:right="1560"/>
              <w:spacing w:after="0"/>
              <w:rPr>
                <w:sz w:val="20"/>
                <w:szCs w:val="20"/>
                <w:color w:val="auto"/>
              </w:rPr>
            </w:pPr>
            <w:r>
              <w:rPr>
                <w:rFonts w:ascii="Arial" w:cs="Arial" w:eastAsia="Arial" w:hAnsi="Arial"/>
                <w:sz w:val="14"/>
                <w:szCs w:val="14"/>
                <w:b w:val="1"/>
                <w:bCs w:val="1"/>
                <w:color w:val="auto"/>
              </w:rPr>
              <w:t>Successor Company</w:t>
            </w: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520" w:type="dxa"/>
            <w:vAlign w:val="bottom"/>
            <w:gridSpan w:val="6"/>
            <w:vMerge w:val="continue"/>
          </w:tcPr>
          <w:p>
            <w:pPr>
              <w:spacing w:after="0"/>
              <w:rPr>
                <w:sz w:val="10"/>
                <w:szCs w:val="10"/>
                <w:color w:val="auto"/>
              </w:rPr>
            </w:pPr>
          </w:p>
        </w:tc>
        <w:tc>
          <w:tcPr>
            <w:tcW w:w="5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gridSpan w:val="6"/>
            <w:vMerge w:val="continue"/>
          </w:tcPr>
          <w:p>
            <w:pPr>
              <w:spacing w:after="0"/>
              <w:rPr>
                <w:sz w:val="14"/>
                <w:szCs w:val="14"/>
                <w:color w:val="auto"/>
              </w:rPr>
            </w:pPr>
          </w:p>
        </w:tc>
        <w:tc>
          <w:tcPr>
            <w:tcW w:w="5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7"/>
              </w:rPr>
              <w:t>Year ended</w:t>
            </w: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37"/>
              <w:spacing w:after="0" w:line="119" w:lineRule="exact"/>
              <w:rPr>
                <w:sz w:val="20"/>
                <w:szCs w:val="20"/>
                <w:color w:val="auto"/>
              </w:rPr>
            </w:pPr>
            <w:r>
              <w:rPr>
                <w:rFonts w:ascii="Arial" w:cs="Arial" w:eastAsia="Arial" w:hAnsi="Arial"/>
                <w:sz w:val="13"/>
                <w:szCs w:val="13"/>
                <w:b w:val="1"/>
                <w:bCs w:val="1"/>
                <w:color w:val="auto"/>
              </w:rPr>
              <w:t>Period from</w:t>
            </w:r>
          </w:p>
        </w:tc>
        <w:tc>
          <w:tcPr>
            <w:tcW w:w="680" w:type="dxa"/>
            <w:vAlign w:val="bottom"/>
          </w:tcPr>
          <w:p>
            <w:pPr>
              <w:spacing w:after="0"/>
              <w:rPr>
                <w:sz w:val="10"/>
                <w:szCs w:val="10"/>
                <w:color w:val="auto"/>
              </w:rPr>
            </w:pPr>
          </w:p>
        </w:tc>
        <w:tc>
          <w:tcPr>
            <w:tcW w:w="56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gridSpan w:val="3"/>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1660" w:type="dxa"/>
            <w:vAlign w:val="bottom"/>
            <w:tcBorders>
              <w:left w:val="single" w:sz="8" w:color="auto"/>
            </w:tcBorders>
            <w:gridSpan w:val="4"/>
          </w:tcPr>
          <w:p>
            <w:pPr>
              <w:jc w:val="center"/>
              <w:ind w:left="356"/>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58"/>
        </w:trPr>
        <w:tc>
          <w:tcPr>
            <w:tcW w:w="3280" w:type="dxa"/>
            <w:vAlign w:val="bottom"/>
            <w:gridSpan w:val="3"/>
            <w:vMerge w:val="continue"/>
          </w:tcPr>
          <w:p>
            <w:pPr>
              <w:spacing w:after="0"/>
              <w:rPr>
                <w:sz w:val="13"/>
                <w:szCs w:val="13"/>
                <w:color w:val="auto"/>
              </w:rPr>
            </w:pPr>
          </w:p>
        </w:tc>
        <w:tc>
          <w:tcPr>
            <w:tcW w:w="2160" w:type="dxa"/>
            <w:vAlign w:val="bottom"/>
            <w:gridSpan w:val="4"/>
          </w:tcPr>
          <w:p>
            <w:pPr>
              <w:ind w:left="640"/>
              <w:spacing w:after="0" w:line="158" w:lineRule="exact"/>
              <w:rPr>
                <w:sz w:val="20"/>
                <w:szCs w:val="20"/>
                <w:color w:val="auto"/>
              </w:rPr>
            </w:pPr>
            <w:r>
              <w:rPr>
                <w:rFonts w:ascii="Arial" w:cs="Arial" w:eastAsia="Arial" w:hAnsi="Arial"/>
                <w:sz w:val="14"/>
                <w:szCs w:val="14"/>
                <w:b w:val="1"/>
                <w:bCs w:val="1"/>
                <w:color w:val="auto"/>
              </w:rPr>
              <w:t>December 31, 2020</w:t>
            </w:r>
          </w:p>
        </w:tc>
        <w:tc>
          <w:tcPr>
            <w:tcW w:w="2160" w:type="dxa"/>
            <w:vAlign w:val="bottom"/>
            <w:gridSpan w:val="4"/>
          </w:tcPr>
          <w:p>
            <w:pPr>
              <w:ind w:left="320"/>
              <w:spacing w:after="0" w:line="158" w:lineRule="exact"/>
              <w:rPr>
                <w:sz w:val="20"/>
                <w:szCs w:val="20"/>
                <w:color w:val="auto"/>
              </w:rPr>
            </w:pPr>
            <w:r>
              <w:rPr>
                <w:rFonts w:ascii="Arial" w:cs="Arial" w:eastAsia="Arial" w:hAnsi="Arial"/>
                <w:sz w:val="14"/>
                <w:szCs w:val="14"/>
                <w:b w:val="1"/>
                <w:bCs w:val="1"/>
                <w:color w:val="auto"/>
              </w:rPr>
              <w:t>December 31, 2019</w:t>
            </w:r>
          </w:p>
        </w:tc>
        <w:tc>
          <w:tcPr>
            <w:tcW w:w="560" w:type="dxa"/>
            <w:vAlign w:val="bottom"/>
            <w:tcBorders>
              <w:left w:val="single" w:sz="8" w:color="auto"/>
            </w:tcBorders>
          </w:tcPr>
          <w:p>
            <w:pPr>
              <w:spacing w:after="0"/>
              <w:rPr>
                <w:sz w:val="13"/>
                <w:szCs w:val="13"/>
                <w:color w:val="auto"/>
              </w:rPr>
            </w:pPr>
          </w:p>
        </w:tc>
        <w:tc>
          <w:tcPr>
            <w:tcW w:w="11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to July 15,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60" w:type="dxa"/>
            <w:vAlign w:val="bottom"/>
            <w:tcBorders>
              <w:left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provided by (used in):</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40"/>
              <w:spacing w:after="0"/>
              <w:rPr>
                <w:sz w:val="20"/>
                <w:szCs w:val="20"/>
                <w:color w:val="auto"/>
              </w:rPr>
            </w:pPr>
            <w:r>
              <w:rPr>
                <w:rFonts w:ascii="Arial" w:cs="Arial" w:eastAsia="Arial" w:hAnsi="Arial"/>
                <w:sz w:val="18"/>
                <w:szCs w:val="18"/>
                <w:color w:val="auto"/>
              </w:rPr>
              <w:t>Operating activities</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23,217</w:t>
            </w:r>
          </w:p>
        </w:tc>
        <w:tc>
          <w:tcPr>
            <w:tcW w:w="36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(7,133)</w:t>
            </w: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(1,109,368)</w:t>
            </w:r>
          </w:p>
        </w:tc>
        <w:tc>
          <w:tcPr>
            <w:tcW w:w="56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40"/>
              <w:spacing w:after="0"/>
              <w:rPr>
                <w:sz w:val="20"/>
                <w:szCs w:val="20"/>
                <w:color w:val="auto"/>
              </w:rPr>
            </w:pPr>
            <w:r>
              <w:rPr>
                <w:rFonts w:ascii="Arial" w:cs="Arial" w:eastAsia="Arial" w:hAnsi="Arial"/>
                <w:sz w:val="18"/>
                <w:szCs w:val="18"/>
                <w:color w:val="auto"/>
              </w:rPr>
              <w:t>Financing activities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16,655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1,125,119</w:t>
            </w:r>
          </w:p>
        </w:tc>
        <w:tc>
          <w:tcPr>
            <w:tcW w:w="680" w:type="dxa"/>
            <w:vAlign w:val="bottom"/>
          </w:tcPr>
          <w:p>
            <w:pPr>
              <w:spacing w:after="0"/>
              <w:rPr>
                <w:sz w:val="18"/>
                <w:szCs w:val="18"/>
                <w:color w:val="auto"/>
              </w:rPr>
            </w:pPr>
          </w:p>
        </w:tc>
        <w:tc>
          <w:tcPr>
            <w:tcW w:w="5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680" w:type="dxa"/>
            <w:vAlign w:val="bottom"/>
            <w:shd w:val="clear" w:color="auto" w:fill="CCEEFF"/>
          </w:tcPr>
          <w:p>
            <w:pPr>
              <w:spacing w:after="0"/>
              <w:rPr>
                <w:sz w:val="18"/>
                <w:szCs w:val="18"/>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Operating Activities</w:t>
      </w:r>
    </w:p>
    <w:p>
      <w:pPr>
        <w:spacing w:after="0" w:line="117"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 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6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Net cash used in operations was $7.1 million for the period from July 16, 2019 to December 31, 2019 (Successor), as a result of a net loss of $49.3 million, adjusted by non-cash charges of $36.5 million and a change of $5.7 million in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operating assets and liabilities. The non-cash charges were primarily comprised of amortization of intangible assets of $30.6 million, non-cash paid in kind interest expense of $3.0 million and amortization of debt issuance costs of $1.1 million. The change in operating assets and liabilities was primarily the result of an increase in deferred revenue of $13.8 million and higher accounts payable, accrued expenses and other current liabilities of $7.4 million, partially offset by an increase in accounts receivable of $12.5 million and in deferred contract costs of $3.1 million.</w:t>
      </w:r>
    </w:p>
    <w:p>
      <w:pPr>
        <w:spacing w:after="0" w:line="17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72" w:lineRule="exact"/>
        <w:rPr>
          <w:sz w:val="20"/>
          <w:szCs w:val="20"/>
          <w:color w:val="auto"/>
        </w:rPr>
      </w:pPr>
    </w:p>
    <w:p>
      <w:pPr>
        <w:ind w:left="1080" w:right="18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Interest paid in cash increased significantly from the year ended December 31, 2019 to the year ended December 31, 2020. This increase primarily related to the additional debt that we incurred to fund the Advent acquisition on July 16, 2019. We plan to use a portion of the proceeds from this offering to repay a portion of our indebtedness, which would result in our future liquidity increasing due to decreased debt service commitments. See “Use of Proceeds.”</w:t>
      </w:r>
    </w:p>
    <w:p>
      <w:pPr>
        <w:spacing w:after="0" w:line="92"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Cash used in investing activities during the year ended December 31, 2020 was $23.9 million, primarily as a result of cash payments for the acquisition of Monocl of $15.5 million, and $6.9 million paid to former members for the Advent acquisition, which was included in accrued expenses at December 31, 2019, and purchases of property and equipment of $1.4 million.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2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Term Loan and debt issuance costs of $4.7 million.</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Cash provided from financing activities for the period from July 16, 2019 to December 31, 2019 (Successor) was $1,125.1 million, primarily as a result of a capital contribution of $697.0 million in connection with the Advent acquisition, proceeds from the Term loan of $450.0 million, partially offset by distributions to members of $6.5 million, payments of debt issuance costs of $14.3 million and repayments on the Term Loan of $1.1 million.</w:t>
      </w:r>
    </w:p>
    <w:p>
      <w:pPr>
        <w:spacing w:after="0" w:line="14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Cash used in financing activities for the period from January 1, 2019 to July 15, 2019 (Predecessor) was $0.5 million, primarily as a result of distributions to members of $0.5 million.</w:t>
      </w:r>
    </w:p>
    <w:p>
      <w:pPr>
        <w:spacing w:after="0" w:line="17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On July 16, 2019, we entered into the Credit Agreement pursuant to which the lenders thereunder agreed to provide the Initial Term Loan Facility, the Initial Delayed Draw Term Facility and the Revolving Credit Facility (each as defined herein). The Credit Agreement includes certain financial covenants and our obligations thereunder are collateralized by first priority security interests on substantially all of our assets.</w:t>
      </w:r>
    </w:p>
    <w:p>
      <w:pPr>
        <w:spacing w:after="0" w:line="16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Initial Term Loan Facility is for $450.0 million, which has a maturity date of July 16, 2026. The Initial Term Loan Facility was issued with an original issue discount of $11.3 million. This discount is amortized to interest expense over the term of the Initial Term Loan Facility using the effective interest method. Interest on a portion of the Initial Term Loan Facility consisting of $100.0 million of the $450.0 million principal amount is not paid in cash but is instead treated as paid in kind and is added to the principal balance to be paid off at maturity.</w:t>
      </w:r>
    </w:p>
    <w:p>
      <w:pPr>
        <w:spacing w:after="0" w:line="17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Quarterly principal payments of the Initial Term Loan Facility of $1.1 million began in December 2019 and are required through the Initial Term Loan Facility’s maturity, at which time a balloon payment of $419.6 million, excluding the paid in kind interest portion, is due. The paid in kind interest portion is also due on the maturity date. The Initial Term Loan Facility is subject to excess cash flow payments annually beginning in the fiscal year ended December 31, 2020 based on the total leverage ratio. There was $454.8 million and $451.9 million outstanding on the Initial Term Loan Facility at December 31, 2020 and 2019, respectively, including $10.4 million and $3.0 million of paid in kind interest, respectively.</w:t>
      </w:r>
    </w:p>
    <w:p>
      <w:pPr>
        <w:spacing w:after="0" w:line="1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Initial Delayed Draw Term Facility is committed in an original committed amount of $100.0 million. Undrawn commitments under the Initial Delayed Draw Term Facility terminate on July 16, 2021 and outstanding loans drawn under the Initial Delayed Draw Term Facility have a maturity date of July 16, 2026. Commitments under the Initial Delayed Draw Term Facility terminate on a dollar-for-dollar basis upon the funding of the Initial Delayed Draw Term Loans. The Initial Delayed Draw Term Facility was issued with an original issue discount of $1.3 million. The outstanding balance on the Initial Delayed Draw Term Facility was $18.0 million at December 31, 2020. There was no outstanding balance at December 31, 2019.</w:t>
      </w:r>
    </w:p>
    <w:p>
      <w:pPr>
        <w:spacing w:after="0" w:line="16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Revolving Credit Facility is committed for $25.0 million and has a maturity date of July 16, 2024. There was no outstanding balance on the Revolving Credit Facility as of December 31, 2020, or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was compliant with its financial covenants for 2020 and 2019,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contractual obligations, debt obligations and commitments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7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One Year</w:t>
            </w:r>
          </w:p>
        </w:tc>
        <w:tc>
          <w:tcPr>
            <w:tcW w:w="7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w w:val="94"/>
              </w:rPr>
              <w:t>Five Years</w:t>
            </w: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$472,742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$ 449,342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17,072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4,531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511,860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13,111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24,431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20,186</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$ 454,132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560" w:hanging="424"/>
        <w:spacing w:after="0" w:line="274"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Minimum purchase obligations are legally binding agreements entered into in the normal course of business.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contractual obligations recorded on the balance sheet include the Monocl acquisition earn-out liability of $5.2 million as of December 31,</w:t>
      </w:r>
    </w:p>
    <w:p>
      <w:pPr>
        <w:spacing w:after="0" w:line="46" w:lineRule="exact"/>
        <w:rPr>
          <w:sz w:val="20"/>
          <w:szCs w:val="20"/>
          <w:color w:val="auto"/>
        </w:rPr>
      </w:pPr>
    </w:p>
    <w:p>
      <w:pPr>
        <w:jc w:val="both"/>
        <w:ind w:left="120" w:right="400"/>
        <w:spacing w:after="0" w:line="255" w:lineRule="auto"/>
        <w:rPr>
          <w:sz w:val="20"/>
          <w:szCs w:val="20"/>
          <w:color w:val="auto"/>
        </w:rPr>
      </w:pPr>
      <w:r>
        <w:rPr>
          <w:rFonts w:ascii="Arial" w:cs="Arial" w:eastAsia="Arial" w:hAnsi="Arial"/>
          <w:sz w:val="18"/>
          <w:szCs w:val="18"/>
          <w:color w:val="auto"/>
        </w:rPr>
        <w:t>2020. The Company had the potential to make a maximum of $15.0 million and a minimum of $0.0 million (undiscounted) in earn-out payments at December 31, 2020. In April 2021, a first payment of $1.5 million was made. Assuming the achievement of the applicable performance criteria, the second and last earn-out payment of $10 million or less will be made in April 2022.</w:t>
      </w:r>
    </w:p>
    <w:p>
      <w:pPr>
        <w:spacing w:after="0" w:line="19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payments we may be required to make under the Tax Receivable Agreements that we will enter into upon completion of this offering may be significant and are not reflected in the contractual obligations tables set forth above, as we are currently unable to estimate the amounts and timing of the payments that may be due thereunder. See “Organizational Structure—Holding Company Structure and the Tax Receivable Agreements.” Additionally, any cash payment obligation we would have if the Continuing Pre-IPO LLC Members redeemed all or a portion of their LLC Units, and we elected a cash payment rather than newly issued shares of Class A common stock, is not reflected in the contractual obligations table set forth above. See “Certain Relationships and Related Party Transactions—Amended Definitive OpCo Agreement.”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we had no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recognize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amounts are typically 30 days. The Company does not offer rights of return for its products and services in the normal course of business, and contracts generally do not include customer acceptance clauses.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We account for business combinations using the acquisition method in accordance with ASC 805—</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is required to be applied prospectively for fiscal years beginning after December 15, 2019 and interim periods within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years beginning after December 15, 2020, with early adoption permitted, and aligns most of the guidance on share-based payments to nonemployees with share-based payments to employees. Effective January 1, 2020, we adopted the guidance in its 2020 consolidated financial statements with</w:t>
      </w:r>
    </w:p>
    <w:p>
      <w:pPr>
        <w:spacing w:after="0" w:line="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no impact. We account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8"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on behalf of its members in certain states. Definitive Healthcare Corp. was not subject to any federal income taxes for the tax years ended December 31, 2020 and 2019, nor was it subject to state income taxes in certain jurisdictions for the tax years ended December 31, 2020 and 2019.</w:t>
      </w:r>
    </w:p>
    <w:p>
      <w:pPr>
        <w:spacing w:after="0" w:line="12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After the Reorganization Transactions and the consummation of this offering, Definitive OpCo will continue to be treated as a pass-through entity partnership. Definitive Healthcare Corp. will become subject to U.S. federal, state and local income taxes with respect to our allocable share of any taxable income of Definitive OpCo and will be taxed at the prevailing corporate tax rates. In addition to tax expenses, we will also make payments under the Tax Receivable Agreements, which we expect to be significant. We anticipate that we will account for the income tax effects and corresponding Tax Receivable Agreements’ effects resulting from future taxable exchanges or redemptions of LLC Units of Continuing Pre-IPO LLC Members by us or Definitive OpCo by recognizing an increase in our deferred tax assets, based on enacted tax rates at the date of the purchase or redemption.</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Agreements will be estimated at the time of any purchase or redemption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66"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For a summary of recent accounting pronouncements applicable to our consolidated financial statements, see Note 2 to our historical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cash, cash equivalents, and marketable securities primarily consist of cash on hand and highly liquid investments in money market funds and U.S. government securities. As of December 31, 2020 we had cash and cash equivalents of $24.8 million.</w:t>
      </w:r>
    </w:p>
    <w:p>
      <w:pPr>
        <w:spacing w:after="0" w:line="170"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Our operating results are subject to market risk from interest rate fluctuations on our Term Loans, which bears a variable interest rate based on the Eurodollar Rate. As of December 31, 2020, the total principal balance outstanding was $472.7 million. A hypothetical 1.0% increase or decrease in the interest rate associated with borrowings under the Credit Agreement would have resulted in a $4.8 million impact to interest expense for the year ended December 31,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Our mission is to make the complex healthcare ecosystem easier to understand, navigate, sell into and compete within by providing a comprehensive, cloud-based healthcare commercial intelligence platform.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Definitive Healthcare provides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2,500 customers as of December 31, 2020.</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customers include Life Sciences companies,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31" w:lineRule="exact"/>
        <w:rPr>
          <w:sz w:val="20"/>
          <w:szCs w:val="20"/>
          <w:color w:val="auto"/>
        </w:rPr>
      </w:pPr>
    </w:p>
    <w:p>
      <w:pPr>
        <w:ind w:left="540" w:hanging="316"/>
        <w:spacing w:after="0"/>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Sales: </w:t>
      </w:r>
      <w:r>
        <w:rPr>
          <w:rFonts w:ascii="Arial" w:cs="Arial" w:eastAsia="Arial" w:hAnsi="Arial"/>
          <w:sz w:val="16"/>
          <w:szCs w:val="16"/>
          <w:color w:val="auto"/>
        </w:rPr>
        <w:t>Size markets, build efficient go-to-market strategies and generate actionable intelligence including prospect and decision maker intelligence</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ROI for their products and services</w:t>
      </w:r>
    </w:p>
    <w:p>
      <w:pPr>
        <w:spacing w:after="0" w:line="142" w:lineRule="exact"/>
        <w:rPr>
          <w:rFonts w:ascii="Arial" w:cs="Arial" w:eastAsia="Arial" w:hAnsi="Arial"/>
          <w:sz w:val="17"/>
          <w:szCs w:val="17"/>
          <w:color w:val="auto"/>
        </w:rPr>
      </w:pPr>
    </w:p>
    <w:p>
      <w:pPr>
        <w:ind w:left="540" w:right="20" w:hanging="316"/>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 data-driven investment decisions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w:t>
      </w:r>
      <w:r>
        <w:rPr>
          <w:rFonts w:ascii="Arial" w:cs="Arial" w:eastAsia="Arial" w:hAnsi="Arial"/>
          <w:sz w:val="16"/>
          <w:szCs w:val="16"/>
          <w:color w:val="auto"/>
        </w:rPr>
        <w:t>Identify and conduct outreach to candidates for healthcare-specific roles including physicians, nurses and hospital executives</w:t>
      </w:r>
    </w:p>
    <w:p>
      <w:pPr>
        <w:spacing w:after="0" w:line="153" w:lineRule="exact"/>
        <w:rPr>
          <w:rFonts w:ascii="Arial" w:cs="Arial" w:eastAsia="Arial" w:hAnsi="Arial"/>
          <w:sz w:val="16"/>
          <w:szCs w:val="16"/>
          <w:color w:val="auto"/>
        </w:rPr>
      </w:pPr>
    </w:p>
    <w:p>
      <w:pPr>
        <w:ind w:left="540" w:right="400" w:hanging="316"/>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three elements are:</w:t>
      </w:r>
    </w:p>
    <w:p>
      <w:pPr>
        <w:spacing w:after="0" w:line="131"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A.I. Engine, </w:t>
      </w:r>
      <w:r>
        <w:rPr>
          <w:rFonts w:ascii="Arial" w:cs="Arial" w:eastAsia="Arial" w:hAnsi="Arial"/>
          <w:sz w:val="18"/>
          <w:szCs w:val="18"/>
          <w:color w:val="auto"/>
        </w:rPr>
        <w:t>built by our team of data scientists, that cleanses, links and creates new information and intelligence; and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generate actionable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create a path to commercial success.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89" w:lineRule="exact"/>
        <w:rPr>
          <w:sz w:val="20"/>
          <w:szCs w:val="20"/>
          <w:color w:val="auto"/>
        </w:rPr>
      </w:pPr>
    </w:p>
    <w:p>
      <w:pPr>
        <w:ind w:left="1080" w:right="86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and December 31, 2019, respectively, representing 38% growth.</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Subscription-based Business Model with Significant Visibility. </w:t>
      </w:r>
      <w:r>
        <w:rPr>
          <w:rFonts w:ascii="Arial" w:cs="Arial" w:eastAsia="Arial" w:hAnsi="Arial"/>
          <w:sz w:val="18"/>
          <w:szCs w:val="18"/>
          <w:color w:val="auto"/>
        </w:rPr>
        <w:t>We generate substantially all of our revenue from subscription fees,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accounted for 99% of our revenue for the year ended December 31, 2020.</w:t>
      </w:r>
    </w:p>
    <w:p>
      <w:pPr>
        <w:spacing w:after="0" w:line="71" w:lineRule="exact"/>
        <w:rPr>
          <w:rFonts w:ascii="Arial" w:cs="Arial" w:eastAsia="Arial" w:hAnsi="Arial"/>
          <w:sz w:val="18"/>
          <w:szCs w:val="18"/>
          <w:color w:val="auto"/>
        </w:rPr>
      </w:pPr>
    </w:p>
    <w:p>
      <w:pPr>
        <w:ind w:left="1080" w:right="680" w:hanging="532"/>
        <w:spacing w:after="0" w:line="347"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Diversified Customer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2,500 companies use our platform to help sell into or compete in the healthcare ecosystem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No single customer made up more than 2% of our revenue for the year ended December 31, 2020.</w:t>
      </w:r>
    </w:p>
    <w:p>
      <w:pPr>
        <w:spacing w:after="0" w:line="25" w:lineRule="exact"/>
        <w:rPr>
          <w:rFonts w:ascii="Arial" w:cs="Arial" w:eastAsia="Arial" w:hAnsi="Arial"/>
          <w:sz w:val="16"/>
          <w:szCs w:val="16"/>
          <w:color w:val="auto"/>
        </w:rPr>
      </w:pPr>
    </w:p>
    <w:p>
      <w:pPr>
        <w:ind w:left="1080" w:right="320" w:hanging="532"/>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Strong Retention and Growth of Existing Customers</w:t>
      </w:r>
      <w:r>
        <w:rPr>
          <w:rFonts w:ascii="Arial" w:cs="Arial" w:eastAsia="Arial" w:hAnsi="Arial"/>
          <w:sz w:val="18"/>
          <w:szCs w:val="18"/>
          <w:color w:val="auto"/>
        </w:rPr>
        <w:t>. Our ability to retain and grow existing customer relationships is reflected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number of Enterprise Customers, of which we had 292 for the year ended December 31, 2020. Our NDR for these Enterprise Customers was 124%.</w:t>
      </w:r>
    </w:p>
    <w:p>
      <w:pPr>
        <w:spacing w:after="0" w:line="89"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Strong Financial Performance. </w:t>
      </w:r>
      <w:r>
        <w:rPr>
          <w:rFonts w:ascii="Arial" w:cs="Arial" w:eastAsia="Arial" w:hAnsi="Arial"/>
          <w:sz w:val="18"/>
          <w:szCs w:val="18"/>
          <w:color w:val="auto"/>
        </w:rPr>
        <w:t>Our net loss was $51.2 million for the year ended December 31, 2020 as compared to a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$49.3 million for the period from July 16, 2019 to December 31, 2019 and net income of $12.9 million for the period from January 1, 2019 to July 15, 2019. Our business model generates strong financial performance and cash flows. For the year ended December 31, 2020, our Adjusted Gross Margin was 91% and our Adjusted EBITDA was $53.5 million reflecting Adjusted EBITDA Margins of 45%.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healthcare sector represents almost 18% of U.S. GDP as of December 31, 2020, nearly $4 trillion in annual spend and is growing at nearly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ind w:left="1080" w:right="40" w:hanging="532"/>
        <w:spacing w:after="0" w:line="311"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Companies are selling to an entire ecosystem, not a single company. </w:t>
      </w:r>
      <w:r>
        <w:rPr>
          <w:rFonts w:ascii="Arial" w:cs="Arial" w:eastAsia="Arial" w:hAnsi="Arial"/>
          <w:sz w:val="16"/>
          <w:szCs w:val="16"/>
          <w:color w:val="auto"/>
        </w:rPr>
        <w:t>There are a large number of stakeholders including providers,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4"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is challenging to identify the true decision maker. </w:t>
      </w:r>
      <w:r>
        <w:rPr>
          <w:rFonts w:ascii="Arial" w:cs="Arial" w:eastAsia="Arial" w:hAnsi="Arial"/>
          <w:sz w:val="18"/>
          <w:szCs w:val="18"/>
          <w:color w:val="auto"/>
        </w:rPr>
        <w:t>The healthcare ecosystem is highly interconnected, and a patient undergoing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92" w:lineRule="exact"/>
        <w:rPr>
          <w:rFonts w:ascii="Arial" w:cs="Arial" w:eastAsia="Arial" w:hAnsi="Arial"/>
          <w:sz w:val="18"/>
          <w:szCs w:val="18"/>
          <w:color w:val="auto"/>
        </w:rPr>
      </w:pPr>
    </w:p>
    <w:p>
      <w:pPr>
        <w:ind w:left="1080" w:right="100" w:hanging="532"/>
        <w:spacing w:after="0" w:line="279"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 differentiate, companies need to tailor their product or service to specific pain points. </w:t>
      </w:r>
      <w:r>
        <w:rPr>
          <w:rFonts w:ascii="Arial" w:cs="Arial" w:eastAsia="Arial" w:hAnsi="Arial"/>
          <w:sz w:val="17"/>
          <w:szCs w:val="17"/>
          <w:color w:val="auto"/>
        </w:rPr>
        <w:t>Healthcare providers have a wide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76" w:lineRule="exact"/>
        <w:rPr>
          <w:rFonts w:ascii="Arial" w:cs="Arial" w:eastAsia="Arial" w:hAnsi="Arial"/>
          <w:sz w:val="17"/>
          <w:szCs w:val="17"/>
          <w:color w:val="auto"/>
        </w:rPr>
      </w:pPr>
    </w:p>
    <w:p>
      <w:pPr>
        <w:ind w:left="1080" w:right="320" w:hanging="532"/>
        <w:spacing w:after="0" w:line="311"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Constant change. </w:t>
      </w:r>
      <w:r>
        <w:rPr>
          <w:rFonts w:ascii="Arial" w:cs="Arial" w:eastAsia="Arial" w:hAnsi="Arial"/>
          <w:sz w:val="16"/>
          <w:szCs w:val="16"/>
          <w:color w:val="auto"/>
        </w:rPr>
        <w:t>The healthcare industry is in a constant state of change, including continuously increasing and changing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4" w:lineRule="exact"/>
        <w:rPr>
          <w:rFonts w:ascii="Arial" w:cs="Arial" w:eastAsia="Arial" w:hAnsi="Arial"/>
          <w:sz w:val="16"/>
          <w:szCs w:val="16"/>
          <w:color w:val="auto"/>
        </w:rPr>
      </w:pPr>
    </w:p>
    <w:p>
      <w:pPr>
        <w:ind w:left="1080" w:right="80" w:hanging="532"/>
        <w:spacing w:after="0" w:line="286"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The high-stakes of the industry puts a premium on any product or service that can increase the likelihood of success.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7" w:lineRule="exact"/>
        <w:rPr>
          <w:sz w:val="20"/>
          <w:szCs w:val="20"/>
          <w:color w:val="auto"/>
        </w:rPr>
      </w:pPr>
    </w:p>
    <w:p>
      <w:pPr>
        <w:ind w:left="1080" w:right="60" w:hanging="532"/>
        <w:spacing w:after="0" w:line="282"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Lack of Healthcare Depth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Generalized Sales and Marketing intelligence providers do not provide the healthcare specific intelligence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critical to success in the healthcare industry. This healthcare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63" w:lineRule="auto"/>
        <w:rPr>
          <w:sz w:val="20"/>
          <w:szCs w:val="20"/>
          <w:color w:val="auto"/>
        </w:rPr>
      </w:pPr>
      <w:r>
        <w:rPr>
          <w:rFonts w:ascii="Arial" w:cs="Arial" w:eastAsia="Arial" w:hAnsi="Arial"/>
          <w:sz w:val="18"/>
          <w:szCs w:val="18"/>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5" w:lineRule="exact"/>
        <w:rPr>
          <w:sz w:val="20"/>
          <w:szCs w:val="20"/>
          <w:color w:val="auto"/>
        </w:rPr>
      </w:pPr>
    </w:p>
    <w:p>
      <w:pPr>
        <w:ind w:left="1080" w:right="80" w:hanging="532"/>
        <w:spacing w:after="0" w:line="261"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5" w:lineRule="exact"/>
        <w:rPr>
          <w:rFonts w:ascii="Arial" w:cs="Arial" w:eastAsia="Arial" w:hAnsi="Arial"/>
          <w:sz w:val="18"/>
          <w:szCs w:val="18"/>
          <w:color w:val="auto"/>
        </w:rPr>
      </w:pPr>
    </w:p>
    <w:p>
      <w:pPr>
        <w:ind w:left="1080" w:hanging="532"/>
        <w:spacing w:after="0" w:line="25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Definitive Healthcare Platform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31" w:lineRule="exact"/>
        <w:rPr>
          <w:sz w:val="20"/>
          <w:szCs w:val="20"/>
          <w:color w:val="auto"/>
        </w:rPr>
      </w:pPr>
    </w:p>
    <w:p>
      <w:pPr>
        <w:ind w:left="1080" w:right="480" w:hanging="532"/>
        <w:spacing w:after="0" w:line="34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comprehensive view of the entire healthcare ecosystem, </w:t>
      </w:r>
      <w:r>
        <w:rPr>
          <w:rFonts w:ascii="Arial" w:cs="Arial" w:eastAsia="Arial" w:hAnsi="Arial"/>
          <w:sz w:val="16"/>
          <w:szCs w:val="16"/>
          <w:color w:val="auto"/>
        </w:rPr>
        <w:t>including intelligence on hospitals, physicians, physician groups, clinics,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imaging centers, long-term care facilities, ambulatory surgery centers, payers, virtual care providers, GPOs and others.</w:t>
      </w:r>
    </w:p>
    <w:p>
      <w:pPr>
        <w:spacing w:after="0" w:line="29" w:lineRule="exact"/>
        <w:rPr>
          <w:rFonts w:ascii="Arial" w:cs="Arial" w:eastAsia="Arial" w:hAnsi="Arial"/>
          <w:sz w:val="16"/>
          <w:szCs w:val="16"/>
          <w:color w:val="auto"/>
        </w:rPr>
      </w:pPr>
    </w:p>
    <w:p>
      <w:pPr>
        <w:ind w:left="1080" w:right="460" w:hanging="532"/>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analytics all linked together through the proprietary Definitive ID.</w:t>
      </w:r>
    </w:p>
    <w:p>
      <w:pPr>
        <w:spacing w:after="0" w:line="75"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RFPs, procedure and diagnosis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leakage, quality of care analytics, financial metrics, technology infrastructure of providers and healthcare stakeholder intelligence with detailed contact information.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Commercial success using the Definitive Healthcare platform can be demonstrated through the following hypothetical examples:</w:t>
      </w:r>
    </w:p>
    <w:p>
      <w:pPr>
        <w:spacing w:after="0" w:line="131" w:lineRule="exact"/>
        <w:rPr>
          <w:sz w:val="20"/>
          <w:szCs w:val="20"/>
          <w:color w:val="auto"/>
        </w:rPr>
      </w:pPr>
    </w:p>
    <w:p>
      <w:pPr>
        <w:ind w:left="1080" w:right="110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pharmaceutical giant introducing a new drug could utilize the Definitive Healthcare platform to find physicians caring for underdiagnosed patients with a rare disease.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One of the world’s largest medical device companies could leverage our healthcare commercial intelligence to identify physicians referring patients with acute cardiovascular disease.</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commercial real estate firm could use the Definitive Healthcare platform to help its health system customers build a geographic expansion strategy based on patient flow and affiliation data.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waste management company could price its solutions based on an estimate of the volume of hazardous waste compiled using the Definitive Healthcare platform.</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public biotechnology company could utilize the Definitive Healthcare platform to identify experts in a specific disease mutation to help recruit patients and influence the market through speaking engagements.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Data Sources and Data Engine</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63"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First party research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team conducts primary research via 650,000 annual research calls and 3.7 million e-mail outreaches per year.</w:t>
      </w:r>
    </w:p>
    <w:p>
      <w:pPr>
        <w:spacing w:after="0" w:line="153" w:lineRule="exact"/>
        <w:rPr>
          <w:rFonts w:ascii="Arial" w:cs="Arial" w:eastAsia="Arial" w:hAnsi="Arial"/>
          <w:sz w:val="16"/>
          <w:szCs w:val="16"/>
          <w:color w:val="auto"/>
        </w:rPr>
      </w:pPr>
    </w:p>
    <w:p>
      <w:pPr>
        <w:ind w:left="1080" w:right="100" w:hanging="532"/>
        <w:spacing w:after="0" w:line="282"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w:t>
      </w:r>
    </w:p>
    <w:p>
      <w:pPr>
        <w:spacing w:after="0" w:line="67" w:lineRule="exact"/>
        <w:rPr>
          <w:rFonts w:ascii="Arial" w:cs="Arial" w:eastAsia="Arial" w:hAnsi="Arial"/>
          <w:sz w:val="18"/>
          <w:szCs w:val="18"/>
          <w:color w:val="auto"/>
        </w:rPr>
      </w:pPr>
    </w:p>
    <w:p>
      <w:pPr>
        <w:ind w:left="1080" w:right="160" w:hanging="532"/>
        <w:spacing w:after="0" w:line="347"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Government and regulatory sources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automated processes for ingesting, updating and linking information from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20,000 governmental and regulatory sources, including the federal government, states, towns and municipalities across the U.S.</w:t>
      </w:r>
    </w:p>
    <w:p>
      <w:pPr>
        <w:spacing w:after="0" w:line="21" w:lineRule="exact"/>
        <w:rPr>
          <w:rFonts w:ascii="Arial" w:cs="Arial" w:eastAsia="Arial" w:hAnsi="Arial"/>
          <w:sz w:val="16"/>
          <w:szCs w:val="16"/>
          <w:color w:val="auto"/>
        </w:rPr>
      </w:pPr>
    </w:p>
    <w:p>
      <w:pPr>
        <w:ind w:left="1080" w:right="260" w:hanging="532"/>
        <w:spacing w:after="0" w:line="282"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third-party vendors, which provide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17 billion claims covering over 250 million patients as of May 2021.</w:t>
      </w:r>
    </w:p>
    <w:p>
      <w:pPr>
        <w:spacing w:after="0" w:line="67" w:lineRule="exact"/>
        <w:rPr>
          <w:rFonts w:ascii="Arial" w:cs="Arial" w:eastAsia="Arial" w:hAnsi="Arial"/>
          <w:sz w:val="18"/>
          <w:szCs w:val="18"/>
          <w:color w:val="auto"/>
        </w:rPr>
      </w:pPr>
    </w:p>
    <w:p>
      <w:pPr>
        <w:ind w:left="1080" w:right="380" w:hanging="532"/>
        <w:spacing w:after="0" w:line="282"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144780</wp:posOffset>
            </wp:positionV>
            <wp:extent cx="4928870" cy="21088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2887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Delivery through a Cutting-edge SaaS Platform</w:t>
      </w:r>
    </w:p>
    <w:p>
      <w:pPr>
        <w:spacing w:after="0" w:line="117" w:lineRule="exact"/>
        <w:rPr>
          <w:sz w:val="20"/>
          <w:szCs w:val="20"/>
          <w:color w:val="auto"/>
        </w:rPr>
      </w:pPr>
    </w:p>
    <w:p>
      <w:pPr>
        <w:jc w:val="both"/>
        <w:ind w:left="120" w:right="560" w:firstLine="440"/>
        <w:spacing w:after="0" w:line="286" w:lineRule="auto"/>
        <w:rPr>
          <w:sz w:val="20"/>
          <w:szCs w:val="20"/>
          <w:color w:val="auto"/>
        </w:rPr>
      </w:pPr>
      <w:r>
        <w:rPr>
          <w:rFonts w:ascii="Arial" w:cs="Arial" w:eastAsia="Arial" w:hAnsi="Arial"/>
          <w:sz w:val="17"/>
          <w:szCs w:val="17"/>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w:t>
      </w:r>
    </w:p>
    <w:p>
      <w:pPr>
        <w:spacing w:after="0" w:line="71"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 1.5 million reports are run every month by our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Over 34,000 users actively utilize the platform. We define active utilization as accessing the platform directly in the last quarter.</w:t>
      </w:r>
    </w:p>
    <w:p>
      <w:pPr>
        <w:spacing w:after="0" w:line="142"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 50% of our overall customers and approximately 70% of our Enterprise Customers integrate our intelligence into their internal systems measured by ARR. Such customer relationship management software includes Salesforce.com</w:t>
      </w:r>
      <w:r>
        <w:rPr>
          <w:rFonts w:ascii="Arial" w:cs="Arial" w:eastAsia="Arial" w:hAnsi="Arial"/>
          <w:sz w:val="15"/>
          <w:szCs w:val="15"/>
          <w:color w:val="auto"/>
        </w:rPr>
        <w:t>®</w:t>
      </w:r>
      <w:r>
        <w:rPr>
          <w:rFonts w:ascii="Arial" w:cs="Arial" w:eastAsia="Arial" w:hAnsi="Arial"/>
          <w:sz w:val="18"/>
          <w:szCs w:val="18"/>
          <w:color w:val="auto"/>
        </w:rPr>
        <w:t xml:space="preserve"> and Veeva</w:t>
      </w:r>
      <w:r>
        <w:rPr>
          <w:rFonts w:ascii="Arial" w:cs="Arial" w:eastAsia="Arial" w:hAnsi="Arial"/>
          <w:sz w:val="15"/>
          <w:szCs w:val="15"/>
          <w:color w:val="auto"/>
        </w:rPr>
        <w:t>®</w:t>
      </w:r>
      <w:r>
        <w:rPr>
          <w:rFonts w:ascii="Arial" w:cs="Arial" w:eastAsia="Arial" w:hAnsi="Arial"/>
          <w:sz w:val="18"/>
          <w:szCs w:val="18"/>
          <w:color w:val="auto"/>
        </w:rPr>
        <w:t>, sales as well as other Marketing Automation and Business Intelligence platforms.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1080" w:right="60" w:hanging="532"/>
        <w:spacing w:after="0" w:line="275"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Healthcare-Specific Intelligence. </w:t>
      </w:r>
      <w:r>
        <w:rPr>
          <w:rFonts w:ascii="Arial" w:cs="Arial" w:eastAsia="Arial" w:hAnsi="Arial"/>
          <w:sz w:val="17"/>
          <w:szCs w:val="17"/>
          <w:color w:val="auto"/>
        </w:rPr>
        <w:t>Over the last 11 years, we have built proprietary intelligence via first party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 highly comprehensive healthcare commercial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81" w:lineRule="exact"/>
        <w:rPr>
          <w:rFonts w:ascii="Arial" w:cs="Arial" w:eastAsia="Arial" w:hAnsi="Arial"/>
          <w:sz w:val="17"/>
          <w:szCs w:val="17"/>
          <w:color w:val="auto"/>
        </w:rPr>
      </w:pPr>
    </w:p>
    <w:p>
      <w:pPr>
        <w:ind w:left="1080" w:right="120" w:hanging="532"/>
        <w:spacing w:after="0" w:line="255"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Integrated Data and Technology Foundation that Creates a Flywheel of Innovation. </w:t>
      </w:r>
      <w:r>
        <w:rPr>
          <w:rFonts w:ascii="Arial" w:cs="Arial" w:eastAsia="Arial" w:hAnsi="Arial"/>
          <w:sz w:val="18"/>
          <w:szCs w:val="18"/>
          <w:color w:val="auto"/>
        </w:rPr>
        <w:t>Our technology platform provides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 have developed and launched 13 intelligence modules, each of which creates opportunities to deepen our relationships with existing customers, increase deal velocity and expand our end-markets.</w:t>
      </w:r>
    </w:p>
    <w:p>
      <w:pPr>
        <w:spacing w:after="0" w:line="97"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Go-to-Market Engine.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2"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Founder-Led Management Team with a Track Record of Execution. </w:t>
      </w:r>
      <w:r>
        <w:rPr>
          <w:rFonts w:ascii="Arial" w:cs="Arial" w:eastAsia="Arial" w:hAnsi="Arial"/>
          <w:sz w:val="18"/>
          <w:szCs w:val="18"/>
          <w:color w:val="auto"/>
        </w:rPr>
        <w:t>Our founder-led management team has a strong 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TAM is $10 billion and growing</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TAM continues to expand each year in the following ways:</w:t>
      </w:r>
    </w:p>
    <w:p>
      <w:pPr>
        <w:spacing w:after="0" w:line="131"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healthcare industry is growing fast and becoming increasingly complex, driving further demand for healthcare business intelligence.</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Attractive market dynamics are luring more companies into the healthcare ecosystem.</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continue to broaden our use cases, further expanding our potential customer base and creating additional opportunity with our existing customers.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dynamics of the Healthcare industry create tailwinds for Definitive Healthcare</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 change. A few examples of the dynamics of the healthcare industry that create significant tailwinds for us include:</w:t>
      </w:r>
    </w:p>
    <w:p>
      <w:pPr>
        <w:spacing w:after="0" w:line="54" w:lineRule="exact"/>
        <w:rPr>
          <w:sz w:val="20"/>
          <w:szCs w:val="20"/>
          <w:color w:val="auto"/>
        </w:rPr>
      </w:pPr>
    </w:p>
    <w:p>
      <w:pPr>
        <w:ind w:left="1080" w:right="60" w:hanging="532"/>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Overall U.S. Healthcare Spending. </w:t>
      </w:r>
      <w:r>
        <w:rPr>
          <w:rFonts w:ascii="Arial" w:cs="Arial" w:eastAsia="Arial" w:hAnsi="Arial"/>
          <w:sz w:val="18"/>
          <w:szCs w:val="18"/>
          <w:color w:val="auto"/>
        </w:rPr>
        <w:t>According to the Center for Medicare and Medicaid Services, healthcare spending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rapidly. Research suggests that growth will be driven in large part by an aging population and the emphasis on healthcare spurred by the COVID-19 pandemic.</w:t>
      </w:r>
    </w:p>
    <w:p>
      <w:pPr>
        <w:spacing w:after="0" w:line="89"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Shift to Value-based Care. </w:t>
      </w:r>
      <w:r>
        <w:rPr>
          <w:rFonts w:ascii="Arial" w:cs="Arial" w:eastAsia="Arial" w:hAnsi="Arial"/>
          <w:sz w:val="18"/>
          <w:szCs w:val="18"/>
          <w:color w:val="auto"/>
        </w:rPr>
        <w:t>Stakeholders in the healthcare system are focused on measuring outcomes of care delivery within the context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We believe value-based care is pushing fundamental changes in healthcare companies’ economics and is reliant on data-driven analytics as stakeholders reward positive health outcomes and cost efficiencies.</w:t>
      </w:r>
    </w:p>
    <w:p>
      <w:pPr>
        <w:spacing w:after="0" w:line="89" w:lineRule="exact"/>
        <w:rPr>
          <w:rFonts w:ascii="Arial" w:cs="Arial" w:eastAsia="Arial" w:hAnsi="Arial"/>
          <w:sz w:val="18"/>
          <w:szCs w:val="18"/>
          <w:color w:val="auto"/>
        </w:rPr>
      </w:pPr>
    </w:p>
    <w:p>
      <w:pPr>
        <w:ind w:left="1080" w:right="440" w:hanging="532"/>
        <w:spacing w:after="0" w:line="286"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Ambulatory Care and Telemedicine. </w:t>
      </w:r>
      <w:r>
        <w:rPr>
          <w:rFonts w:ascii="Arial" w:cs="Arial" w:eastAsia="Arial" w:hAnsi="Arial"/>
          <w:sz w:val="17"/>
          <w:szCs w:val="17"/>
          <w:color w:val="auto"/>
        </w:rPr>
        <w:t>The continued shift to ambulatory care, telemedicine and other outpatient care channels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70" w:lineRule="exact"/>
        <w:rPr>
          <w:rFonts w:ascii="Arial" w:cs="Arial" w:eastAsia="Arial" w:hAnsi="Arial"/>
          <w:sz w:val="17"/>
          <w:szCs w:val="17"/>
          <w:color w:val="auto"/>
        </w:rPr>
      </w:pPr>
    </w:p>
    <w:p>
      <w:pPr>
        <w:jc w:val="both"/>
        <w:ind w:left="1080" w:right="80" w:hanging="532"/>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Exponential Growth of Complex Data. </w:t>
      </w:r>
      <w:r>
        <w:rPr>
          <w:rFonts w:ascii="Arial" w:cs="Arial" w:eastAsia="Arial" w:hAnsi="Arial"/>
          <w:sz w:val="18"/>
          <w:szCs w:val="18"/>
          <w:color w:val="auto"/>
        </w:rPr>
        <w:t>Electronic health records and other systems have created a proliferation of healthcare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successful companies in the healthcare industry will leverage advanced analytics and A.I. engines in order to manage data that is too complex for traditional technologies.</w:t>
      </w:r>
    </w:p>
    <w:p>
      <w:pPr>
        <w:spacing w:after="0" w:line="89" w:lineRule="exact"/>
        <w:rPr>
          <w:rFonts w:ascii="Arial" w:cs="Arial" w:eastAsia="Arial" w:hAnsi="Arial"/>
          <w:sz w:val="18"/>
          <w:szCs w:val="18"/>
          <w:color w:val="auto"/>
        </w:rPr>
      </w:pPr>
    </w:p>
    <w:p>
      <w:pPr>
        <w:ind w:left="1080" w:right="220" w:hanging="532"/>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7"/>
          <w:szCs w:val="17"/>
          <w:b w:val="1"/>
          <w:bCs w:val="1"/>
          <w:i w:val="1"/>
          <w:iCs w:val="1"/>
          <w:color w:val="auto"/>
        </w:rPr>
        <w:t>ncreased Regulation in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New presidential administrations bring in new ideas and changes. We believe we will benefit from</w:t>
      </w:r>
      <w:r>
        <w:rPr>
          <w:rFonts w:ascii="Arial" w:cs="Arial" w:eastAsia="Arial" w:hAnsi="Arial"/>
          <w:sz w:val="17"/>
          <w:szCs w:val="17"/>
          <w:i w:val="1"/>
          <w:iCs w:val="1"/>
          <w:color w:val="auto"/>
        </w:rPr>
        <w:t xml:space="preserve"> </w:t>
      </w:r>
      <w:r>
        <w:rPr>
          <w:rFonts w:ascii="Arial" w:cs="Arial" w:eastAsia="Arial" w:hAnsi="Arial"/>
          <w:sz w:val="17"/>
          <w:szCs w:val="17"/>
          <w:color w:val="auto"/>
        </w:rPr>
        <w:t>recent increases in healthcare regulation as customers require deeper insight to navigate through these changes.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31" w:lineRule="exact"/>
        <w:rPr>
          <w:sz w:val="20"/>
          <w:szCs w:val="20"/>
          <w:color w:val="auto"/>
        </w:rPr>
      </w:pPr>
    </w:p>
    <w:p>
      <w:pPr>
        <w:ind w:left="1080" w:right="100" w:hanging="532"/>
        <w:spacing w:after="0" w:line="25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New Customers. </w:t>
      </w:r>
      <w:r>
        <w:rPr>
          <w:rFonts w:ascii="Arial" w:cs="Arial" w:eastAsia="Arial" w:hAnsi="Arial"/>
          <w:sz w:val="18"/>
          <w:szCs w:val="18"/>
          <w:color w:val="auto"/>
        </w:rPr>
        <w:t>We believe we have a significant opportunity to continue to expand our market presence through our efficient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go-to-market engine. We have identified 100,000 potential customers across the healthcare ecosystem that we believe could benefit from our platform, a number that continues to grow. Our current customer base of over 2,500 customers implies penetration of less than 3%. In the year ended December 31, 2020, we added 712 new customers and increased our investment in new logo sales capacity by 35% as measured by the number of directors and sales executives.</w:t>
      </w:r>
    </w:p>
    <w:p>
      <w:pPr>
        <w:spacing w:after="0" w:line="93"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Relationships with Existing Customers. </w:t>
      </w:r>
      <w:r>
        <w:rPr>
          <w:rFonts w:ascii="Arial" w:cs="Arial" w:eastAsia="Arial" w:hAnsi="Arial"/>
          <w:sz w:val="18"/>
          <w:szCs w:val="18"/>
          <w:color w:val="auto"/>
        </w:rPr>
        <w:t>We have significant opportunity to generate additional revenue from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relationships by selling additional modules, functionality and features in addition to increasing the number of users at a customer by expanding into new teams and departments. As of December 31, 2020, 79% of our customers subscribe to fewer than four of our modules, highlighting the opportunity to expand the usage of our platform.</w:t>
      </w:r>
    </w:p>
    <w:p>
      <w:pPr>
        <w:spacing w:after="0" w:line="92"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to Strengthen our Platform and Market Leadership Position. </w:t>
      </w:r>
      <w:r>
        <w:rPr>
          <w:rFonts w:ascii="Arial" w:cs="Arial" w:eastAsia="Arial" w:hAnsi="Arial"/>
          <w:sz w:val="18"/>
          <w:szCs w:val="18"/>
          <w:color w:val="auto"/>
        </w:rPr>
        <w:t>We have been highly innovative since our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2011, and we continue to disrupt the healthcare ecosystem with new data sources, analytics, data science and workflow products. New innovations allow us to increase new deal velocity, deepen our relationships with existing customers and demand higher prices. We have and will continue to innovate in the following ways:</w:t>
      </w:r>
    </w:p>
    <w:p>
      <w:pPr>
        <w:spacing w:after="0" w:line="92" w:lineRule="exact"/>
        <w:rPr>
          <w:rFonts w:ascii="Arial" w:cs="Arial" w:eastAsia="Arial" w:hAnsi="Arial"/>
          <w:sz w:val="18"/>
          <w:szCs w:val="18"/>
          <w:color w:val="auto"/>
        </w:rPr>
      </w:pPr>
    </w:p>
    <w:p>
      <w:pPr>
        <w:ind w:left="1540" w:right="380" w:hanging="439"/>
        <w:spacing w:after="0" w:line="277" w:lineRule="auto"/>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New data sources: </w:t>
      </w:r>
      <w:r>
        <w:rPr>
          <w:rFonts w:ascii="Arial" w:cs="Arial" w:eastAsia="Arial" w:hAnsi="Arial"/>
          <w:sz w:val="18"/>
          <w:szCs w:val="18"/>
          <w:color w:val="auto"/>
        </w:rPr>
        <w:t>To date, we have launched 13 highly integrated intelligence modules that make up the Definitive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including our most recent addition of a prescription drug claims source of data.</w:t>
      </w:r>
    </w:p>
    <w:p>
      <w:pPr>
        <w:spacing w:after="0" w:line="75" w:lineRule="exact"/>
        <w:rPr>
          <w:rFonts w:ascii="Arial" w:cs="Arial" w:eastAsia="Arial" w:hAnsi="Arial"/>
          <w:sz w:val="18"/>
          <w:szCs w:val="18"/>
          <w:color w:val="auto"/>
        </w:rPr>
      </w:pPr>
    </w:p>
    <w:p>
      <w:pPr>
        <w:ind w:left="1540" w:right="220" w:hanging="439"/>
        <w:spacing w:after="0" w:line="263" w:lineRule="auto"/>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We are continuously updating our platform to include new features and updates to our intelligence modules.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enhancements drive customer renewals, average price and deal velocity. For example, our historical affiliation trends and updated diagnosis includes ICD-10 designations from medical billing and coding.</w:t>
      </w:r>
    </w:p>
    <w:p>
      <w:pPr>
        <w:spacing w:after="0" w:line="89" w:lineRule="exact"/>
        <w:rPr>
          <w:rFonts w:ascii="Arial" w:cs="Arial" w:eastAsia="Arial" w:hAnsi="Arial"/>
          <w:sz w:val="18"/>
          <w:szCs w:val="18"/>
          <w:color w:val="auto"/>
        </w:rPr>
      </w:pPr>
    </w:p>
    <w:p>
      <w:pPr>
        <w:ind w:left="1540" w:right="100" w:hanging="439"/>
        <w:spacing w:after="0" w:line="257" w:lineRule="auto"/>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Data science: </w:t>
      </w:r>
      <w:r>
        <w:rPr>
          <w:rFonts w:ascii="Arial" w:cs="Arial" w:eastAsia="Arial" w:hAnsi="Arial"/>
          <w:sz w:val="18"/>
          <w:szCs w:val="18"/>
          <w:color w:val="auto"/>
        </w:rPr>
        <w:t>We continue to add skilled data scientists to our growing team to focus on building out new linkages and intelligence</w:t>
      </w:r>
      <w:r>
        <w:rPr>
          <w:rFonts w:ascii="Arial" w:cs="Arial" w:eastAsia="Arial" w:hAnsi="Arial"/>
          <w:sz w:val="18"/>
          <w:szCs w:val="18"/>
          <w:i w:val="1"/>
          <w:iCs w:val="1"/>
          <w:color w:val="auto"/>
        </w:rPr>
        <w:t xml:space="preserve"> </w:t>
      </w:r>
      <w:r>
        <w:rPr>
          <w:rFonts w:ascii="Arial" w:cs="Arial" w:eastAsia="Arial" w:hAnsi="Arial"/>
          <w:sz w:val="18"/>
          <w:szCs w:val="18"/>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3" w:lineRule="exact"/>
        <w:rPr>
          <w:rFonts w:ascii="Arial" w:cs="Arial" w:eastAsia="Arial" w:hAnsi="Arial"/>
          <w:sz w:val="18"/>
          <w:szCs w:val="18"/>
          <w:color w:val="auto"/>
        </w:rPr>
      </w:pPr>
    </w:p>
    <w:p>
      <w:pPr>
        <w:ind w:left="1540" w:right="40" w:hanging="439"/>
        <w:spacing w:after="0" w:line="259" w:lineRule="auto"/>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Workflow products: </w:t>
      </w:r>
      <w:r>
        <w:rPr>
          <w:rFonts w:ascii="Arial" w:cs="Arial" w:eastAsia="Arial" w:hAnsi="Arial"/>
          <w:sz w:val="18"/>
          <w:szCs w:val="18"/>
          <w:color w:val="auto"/>
        </w:rPr>
        <w:t>We continue to build solutions to our customers’ important problems and seamlessly embed our platform into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workflow. For example, our Latitude module allows customers to not only identify valuable patient cohorts, but also provides customers with a workflow product for Life Sciences sales representatives to build deep relationships with targeted physicians.</w:t>
      </w:r>
    </w:p>
    <w:p>
      <w:pPr>
        <w:spacing w:after="0" w:line="92"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Make Selective Strategic Acquisitions. </w:t>
      </w:r>
      <w:r>
        <w:rPr>
          <w:rFonts w:ascii="Arial" w:cs="Arial" w:eastAsia="Arial" w:hAnsi="Arial"/>
          <w:sz w:val="18"/>
          <w:szCs w:val="18"/>
          <w:color w:val="auto"/>
        </w:rPr>
        <w:t>We will continue to consider acquisitions that we believe would enhance our capabilities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Platform Modules</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platform includes integrated intelligence modules and workflow products that provide customers access to intelligence and tools at all levels of the healthcare ecosystem.</w:t>
      </w:r>
    </w:p>
    <w:p>
      <w:pPr>
        <w:spacing w:after="0" w:line="76" w:lineRule="exact"/>
        <w:rPr>
          <w:sz w:val="20"/>
          <w:szCs w:val="20"/>
          <w:color w:val="auto"/>
        </w:rPr>
      </w:pPr>
    </w:p>
    <w:p>
      <w:pPr>
        <w:ind w:left="1080" w:right="18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Integrated Intelligence Modules: </w:t>
      </w:r>
      <w:r>
        <w:rPr>
          <w:rFonts w:ascii="Arial" w:cs="Arial" w:eastAsia="Arial" w:hAnsi="Arial"/>
          <w:sz w:val="18"/>
          <w:szCs w:val="18"/>
          <w:color w:val="auto"/>
        </w:rPr>
        <w:t>Customers may purchase any of 13 different intelligence modules providing access to intelligence 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segments of the healthcare ecosystem. These modules include ClaimsMx, ClaimsRx, ConnectedCareView, ClinicView, HospitalView, ImagingView, LongTermCareView, PhysicianGroupView, PhysicianView, SpecialtyRxView, SurgeryCenterView, Monocl ExpertInsight and Monocl ClaimsMx.</w:t>
      </w:r>
    </w:p>
    <w:p>
      <w:pPr>
        <w:spacing w:after="0" w:line="92"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Workflow products: </w:t>
      </w:r>
      <w:r>
        <w:rPr>
          <w:rFonts w:ascii="Arial" w:cs="Arial" w:eastAsia="Arial" w:hAnsi="Arial"/>
          <w:sz w:val="18"/>
          <w:szCs w:val="18"/>
          <w:color w:val="auto"/>
        </w:rPr>
        <w:t>Customers can add additional workflow tools to power deeper analytics or to connect our intelligence deeper into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These modules include Definitive Healthcare Data Integration Package, Definitive Healthcare Mobile, Latitude Reporting, PatientFinder, Definitive Healthcare Connect, Monocl Engage and Monocl Connect..</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important intelligence provided within the modules include the following:</w:t>
      </w:r>
    </w:p>
    <w:p>
      <w:pPr>
        <w:spacing w:after="0" w:line="131"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Affiliations and relationships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Referral patterns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Procedure and diagnosis volumes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Financial metrics and technology installs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Executive and physician decision makers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Dashboards that provide insight not data</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Customers utilize the Definitive Healthcare platform broadly throughout their organization to solve a variety of large, high-stakes problems as demonstrated by the following examples.</w:t>
      </w:r>
    </w:p>
    <w:p>
      <w:pPr>
        <w:spacing w:after="0" w:line="72"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Identifying the Right Prospects</w:t>
      </w:r>
    </w:p>
    <w:p>
      <w:pPr>
        <w:spacing w:after="0" w:line="134" w:lineRule="exact"/>
        <w:rPr>
          <w:rFonts w:ascii="Arial" w:cs="Arial" w:eastAsia="Arial" w:hAnsi="Arial"/>
          <w:sz w:val="18"/>
          <w:szCs w:val="18"/>
          <w:color w:val="auto"/>
        </w:rPr>
      </w:pPr>
    </w:p>
    <w:p>
      <w:pPr>
        <w:ind w:left="1540" w:hanging="439"/>
        <w:spacing w:after="0" w:line="257" w:lineRule="auto"/>
        <w:tabs>
          <w:tab w:leader="none" w:pos="1540" w:val="left"/>
        </w:tabs>
        <w:numPr>
          <w:ilvl w:val="1"/>
          <w:numId w:val="99"/>
        </w:numPr>
        <w:rPr>
          <w:rFonts w:ascii="Arial" w:cs="Arial" w:eastAsia="Arial" w:hAnsi="Arial"/>
          <w:sz w:val="15"/>
          <w:szCs w:val="15"/>
          <w:color w:val="auto"/>
        </w:rPr>
      </w:pPr>
      <w:r>
        <w:rPr>
          <w:rFonts w:ascii="Arial" w:cs="Arial" w:eastAsia="Arial" w:hAnsi="Arial"/>
          <w:sz w:val="18"/>
          <w:szCs w:val="18"/>
          <w:i w:val="1"/>
          <w:iCs w:val="1"/>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93" w:lineRule="exact"/>
        <w:rPr>
          <w:rFonts w:ascii="Arial" w:cs="Arial" w:eastAsia="Arial" w:hAnsi="Arial"/>
          <w:sz w:val="15"/>
          <w:szCs w:val="15"/>
          <w:color w:val="auto"/>
        </w:rPr>
      </w:pPr>
    </w:p>
    <w:p>
      <w:pPr>
        <w:ind w:left="1540" w:hanging="439"/>
        <w:spacing w:after="0" w:line="275" w:lineRule="auto"/>
        <w:tabs>
          <w:tab w:leader="none" w:pos="1540" w:val="left"/>
        </w:tabs>
        <w:numPr>
          <w:ilvl w:val="1"/>
          <w:numId w:val="99"/>
        </w:numPr>
        <w:rPr>
          <w:rFonts w:ascii="Arial" w:cs="Arial" w:eastAsia="Arial" w:hAnsi="Arial"/>
          <w:sz w:val="14"/>
          <w:szCs w:val="14"/>
          <w:color w:val="auto"/>
        </w:rPr>
      </w:pPr>
      <w:r>
        <w:rPr>
          <w:rFonts w:ascii="Arial" w:cs="Arial" w:eastAsia="Arial" w:hAnsi="Arial"/>
          <w:sz w:val="17"/>
          <w:szCs w:val="17"/>
          <w:i w:val="1"/>
          <w:iCs w:val="1"/>
          <w:color w:val="auto"/>
        </w:rPr>
        <w:t>An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168910</wp:posOffset>
            </wp:positionV>
            <wp:extent cx="5126355" cy="2186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2635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Marketing: </w:t>
      </w:r>
      <w:r>
        <w:rPr>
          <w:rFonts w:ascii="Arial" w:cs="Arial" w:eastAsia="Arial" w:hAnsi="Arial"/>
          <w:sz w:val="18"/>
          <w:szCs w:val="18"/>
          <w:color w:val="auto"/>
        </w:rPr>
        <w:t>Demonstrating a Quantifiable ROI</w:t>
      </w:r>
    </w:p>
    <w:p>
      <w:pPr>
        <w:spacing w:after="0" w:line="134" w:lineRule="exact"/>
        <w:rPr>
          <w:rFonts w:ascii="Arial" w:cs="Arial" w:eastAsia="Arial" w:hAnsi="Arial"/>
          <w:sz w:val="18"/>
          <w:szCs w:val="18"/>
          <w:color w:val="auto"/>
        </w:rPr>
      </w:pPr>
    </w:p>
    <w:p>
      <w:pPr>
        <w:ind w:left="1540" w:hanging="439"/>
        <w:spacing w:after="0" w:line="254" w:lineRule="auto"/>
        <w:tabs>
          <w:tab w:leader="none" w:pos="1540" w:val="left"/>
        </w:tabs>
        <w:numPr>
          <w:ilvl w:val="1"/>
          <w:numId w:val="100"/>
        </w:numPr>
        <w:rPr>
          <w:rFonts w:ascii="Arial" w:cs="Arial" w:eastAsia="Arial" w:hAnsi="Arial"/>
          <w:sz w:val="15"/>
          <w:szCs w:val="15"/>
          <w:color w:val="auto"/>
        </w:rPr>
      </w:pPr>
      <w:r>
        <w:rPr>
          <w:rFonts w:ascii="Arial" w:cs="Arial" w:eastAsia="Arial" w:hAnsi="Arial"/>
          <w:sz w:val="18"/>
          <w:szCs w:val="18"/>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088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Clinical Research &amp; Product Development: </w:t>
      </w:r>
      <w:r>
        <w:rPr>
          <w:rFonts w:ascii="Arial" w:cs="Arial" w:eastAsia="Arial" w:hAnsi="Arial"/>
          <w:sz w:val="18"/>
          <w:szCs w:val="18"/>
          <w:color w:val="auto"/>
        </w:rPr>
        <w:t>Disease and Commercial Market Targeting</w:t>
      </w:r>
    </w:p>
    <w:p>
      <w:pPr>
        <w:spacing w:after="0" w:line="134" w:lineRule="exact"/>
        <w:rPr>
          <w:rFonts w:ascii="Arial" w:cs="Arial" w:eastAsia="Arial" w:hAnsi="Arial"/>
          <w:sz w:val="18"/>
          <w:szCs w:val="18"/>
          <w:color w:val="auto"/>
        </w:rPr>
      </w:pPr>
    </w:p>
    <w:p>
      <w:pPr>
        <w:ind w:left="1540" w:hanging="439"/>
        <w:spacing w:after="0" w:line="255" w:lineRule="auto"/>
        <w:tabs>
          <w:tab w:leader="none" w:pos="1540" w:val="left"/>
        </w:tabs>
        <w:numPr>
          <w:ilvl w:val="1"/>
          <w:numId w:val="101"/>
        </w:numPr>
        <w:rPr>
          <w:rFonts w:ascii="Arial" w:cs="Arial" w:eastAsia="Arial" w:hAnsi="Arial"/>
          <w:sz w:val="15"/>
          <w:szCs w:val="15"/>
          <w:color w:val="auto"/>
        </w:rPr>
      </w:pPr>
      <w:r>
        <w:rPr>
          <w:rFonts w:ascii="Arial" w:cs="Arial" w:eastAsia="Arial" w:hAnsi="Arial"/>
          <w:sz w:val="18"/>
          <w:szCs w:val="18"/>
          <w:i w:val="1"/>
          <w:iCs w:val="1"/>
          <w:color w:val="auto"/>
        </w:rPr>
        <w:t>The Medical Affairs department within the rare disease division of a mid-sized international biotech company had a 20-person field team of medical science liaisons (”MSLs”). This 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088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Strategy: </w:t>
      </w:r>
      <w:r>
        <w:rPr>
          <w:rFonts w:ascii="Arial" w:cs="Arial" w:eastAsia="Arial" w:hAnsi="Arial"/>
          <w:sz w:val="18"/>
          <w:szCs w:val="18"/>
          <w:color w:val="auto"/>
        </w:rPr>
        <w:t>Locating Adjacent Markets and Underdiagnosed Patients</w:t>
      </w:r>
    </w:p>
    <w:p>
      <w:pPr>
        <w:spacing w:after="0" w:line="134" w:lineRule="exact"/>
        <w:rPr>
          <w:rFonts w:ascii="Arial" w:cs="Arial" w:eastAsia="Arial" w:hAnsi="Arial"/>
          <w:sz w:val="18"/>
          <w:szCs w:val="18"/>
          <w:color w:val="auto"/>
        </w:rPr>
      </w:pPr>
    </w:p>
    <w:p>
      <w:pPr>
        <w:ind w:left="1540" w:hanging="439"/>
        <w:spacing w:after="0" w:line="279" w:lineRule="auto"/>
        <w:tabs>
          <w:tab w:leader="none" w:pos="1540" w:val="left"/>
        </w:tabs>
        <w:numPr>
          <w:ilvl w:val="1"/>
          <w:numId w:val="102"/>
        </w:numPr>
        <w:rPr>
          <w:rFonts w:ascii="Arial" w:cs="Arial" w:eastAsia="Arial" w:hAnsi="Arial"/>
          <w:sz w:val="14"/>
          <w:szCs w:val="14"/>
          <w:color w:val="auto"/>
        </w:rPr>
      </w:pPr>
      <w:r>
        <w:rPr>
          <w:rFonts w:ascii="Arial" w:cs="Arial" w:eastAsia="Arial" w:hAnsi="Arial"/>
          <w:sz w:val="17"/>
          <w:szCs w:val="17"/>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 indicated the presence of a more severe, rare disease. By educating the identified physicians treating these patients, the company was able to yield 15 net new physicians that were not previously on their radar.</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Find Patient Populations for More Informed Practitioner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168910</wp:posOffset>
            </wp:positionV>
            <wp:extent cx="4920615" cy="20999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2061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Talent Acquisition: </w:t>
      </w:r>
      <w:r>
        <w:rPr>
          <w:rFonts w:ascii="Arial" w:cs="Arial" w:eastAsia="Arial" w:hAnsi="Arial"/>
          <w:sz w:val="18"/>
          <w:szCs w:val="18"/>
          <w:color w:val="auto"/>
        </w:rPr>
        <w:t>Addressing Turnover in Critical Healthcare Positions</w:t>
      </w:r>
    </w:p>
    <w:p>
      <w:pPr>
        <w:spacing w:after="0" w:line="134" w:lineRule="exact"/>
        <w:rPr>
          <w:rFonts w:ascii="Arial" w:cs="Arial" w:eastAsia="Arial" w:hAnsi="Arial"/>
          <w:sz w:val="18"/>
          <w:szCs w:val="18"/>
          <w:color w:val="auto"/>
        </w:rPr>
      </w:pPr>
    </w:p>
    <w:p>
      <w:pPr>
        <w:ind w:left="1540" w:right="160" w:hanging="439"/>
        <w:spacing w:after="0" w:line="275" w:lineRule="auto"/>
        <w:tabs>
          <w:tab w:leader="none" w:pos="1540" w:val="left"/>
        </w:tabs>
        <w:numPr>
          <w:ilvl w:val="1"/>
          <w:numId w:val="103"/>
        </w:numPr>
        <w:rPr>
          <w:rFonts w:ascii="Arial" w:cs="Arial" w:eastAsia="Arial" w:hAnsi="Arial"/>
          <w:sz w:val="14"/>
          <w:szCs w:val="14"/>
          <w:color w:val="auto"/>
        </w:rPr>
      </w:pPr>
      <w:r>
        <w:rPr>
          <w:rFonts w:ascii="Arial" w:cs="Arial" w:eastAsia="Arial" w:hAnsi="Arial"/>
          <w:sz w:val="17"/>
          <w:szCs w:val="17"/>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 agency analyzed individual physician behavior at the hospital level to understand potential physician availability.</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168910</wp:posOffset>
            </wp:positionV>
            <wp:extent cx="4920615" cy="20999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2061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Physician Network Management: </w:t>
      </w:r>
      <w:r>
        <w:rPr>
          <w:rFonts w:ascii="Arial" w:cs="Arial" w:eastAsia="Arial" w:hAnsi="Arial"/>
          <w:sz w:val="18"/>
          <w:szCs w:val="18"/>
          <w:color w:val="auto"/>
        </w:rPr>
        <w:t>Entering New Healthcare End-Markets</w:t>
      </w:r>
    </w:p>
    <w:p>
      <w:pPr>
        <w:spacing w:after="0" w:line="134" w:lineRule="exact"/>
        <w:rPr>
          <w:rFonts w:ascii="Arial" w:cs="Arial" w:eastAsia="Arial" w:hAnsi="Arial"/>
          <w:sz w:val="18"/>
          <w:szCs w:val="18"/>
          <w:color w:val="auto"/>
        </w:rPr>
      </w:pPr>
    </w:p>
    <w:p>
      <w:pPr>
        <w:ind w:left="1540" w:hanging="439"/>
        <w:spacing w:after="0" w:line="296" w:lineRule="auto"/>
        <w:tabs>
          <w:tab w:leader="none" w:pos="1540" w:val="left"/>
        </w:tabs>
        <w:numPr>
          <w:ilvl w:val="1"/>
          <w:numId w:val="104"/>
        </w:numPr>
        <w:rPr>
          <w:rFonts w:ascii="Arial" w:cs="Arial" w:eastAsia="Arial" w:hAnsi="Arial"/>
          <w:sz w:val="13"/>
          <w:szCs w:val="13"/>
          <w:color w:val="auto"/>
        </w:rPr>
      </w:pPr>
      <w:r>
        <w:rPr>
          <w:rFonts w:ascii="Arial" w:cs="Arial" w:eastAsia="Arial" w:hAnsi="Arial"/>
          <w:sz w:val="16"/>
          <w:szCs w:val="16"/>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 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088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Innovation of our Platform</w:t>
      </w:r>
    </w:p>
    <w:p>
      <w:pPr>
        <w:spacing w:after="0" w:line="121"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We are constantly innovating, evolving and improving our platform in order to adapt to the rapidly changing dynamics of the healthcare ecosystem, as well as to expand the number and sophistication of business problems that we help our customers solve. This innovation translates into increased value for our customers, as well as deal velocity and creates opportunities to increase sales into our broad existing customer base.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innovate through a combination of the following key activities:</w:t>
      </w:r>
    </w:p>
    <w:p>
      <w:pPr>
        <w:spacing w:after="0" w:line="131" w:lineRule="exact"/>
        <w:rPr>
          <w:sz w:val="20"/>
          <w:szCs w:val="20"/>
          <w:color w:val="auto"/>
        </w:rPr>
      </w:pPr>
    </w:p>
    <w:p>
      <w:pPr>
        <w:jc w:val="both"/>
        <w:ind w:left="1080" w:right="60" w:hanging="532"/>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Adding New Data Sources. </w:t>
      </w:r>
      <w:r>
        <w:rPr>
          <w:rFonts w:ascii="Arial" w:cs="Arial" w:eastAsia="Arial" w:hAnsi="Arial"/>
          <w:sz w:val="18"/>
          <w:szCs w:val="18"/>
          <w:color w:val="auto"/>
        </w:rPr>
        <w:t>We are constantly identifying new data sources, big and small, which add to the depth of intelligence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provider in our platform. A few examples of recent additions include intelligence on updated Medicare incentives and information on over 5 billion prescription drugs claims.</w:t>
      </w:r>
    </w:p>
    <w:p>
      <w:pPr>
        <w:spacing w:after="0" w:line="8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New Capabilities and Analytics. </w:t>
      </w:r>
      <w:r>
        <w:rPr>
          <w:rFonts w:ascii="Arial" w:cs="Arial" w:eastAsia="Arial" w:hAnsi="Arial"/>
          <w:sz w:val="18"/>
          <w:szCs w:val="18"/>
          <w:color w:val="auto"/>
        </w:rPr>
        <w:t>Giving our customers answers, not data, is at the core of our platform. To do this, we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2" w:lineRule="exact"/>
        <w:rPr>
          <w:rFonts w:ascii="Arial" w:cs="Arial" w:eastAsia="Arial" w:hAnsi="Arial"/>
          <w:sz w:val="18"/>
          <w:szCs w:val="18"/>
          <w:color w:val="auto"/>
        </w:rPr>
      </w:pPr>
    </w:p>
    <w:p>
      <w:pPr>
        <w:ind w:left="1080" w:right="100" w:hanging="532"/>
        <w:spacing w:after="0" w:line="311"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Creating New Data Science. </w:t>
      </w:r>
      <w:r>
        <w:rPr>
          <w:rFonts w:ascii="Arial" w:cs="Arial" w:eastAsia="Arial" w:hAnsi="Arial"/>
          <w:sz w:val="16"/>
          <w:szCs w:val="16"/>
          <w:color w:val="auto"/>
        </w:rPr>
        <w:t>Our data science team is constantly refining our data and creating new algorithms that generate tangible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Flywheel Effect of our Growing Platform</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how this works include:</w:t>
      </w:r>
    </w:p>
    <w:p>
      <w:pPr>
        <w:spacing w:after="0" w:line="131" w:lineRule="exact"/>
        <w:rPr>
          <w:sz w:val="20"/>
          <w:szCs w:val="20"/>
          <w:color w:val="auto"/>
        </w:rPr>
      </w:pPr>
    </w:p>
    <w:p>
      <w:pPr>
        <w:ind w:left="1080" w:right="58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integrating in scientific research publications, our algorithms are able to identify additional affiliations and increase precision of existing affiliation information;</w:t>
      </w:r>
    </w:p>
    <w:p>
      <w:pPr>
        <w:spacing w:after="0" w:line="75" w:lineRule="exact"/>
        <w:rPr>
          <w:rFonts w:ascii="Arial" w:cs="Arial" w:eastAsia="Arial" w:hAnsi="Arial"/>
          <w:sz w:val="18"/>
          <w:szCs w:val="18"/>
          <w:color w:val="auto"/>
        </w:rPr>
      </w:pPr>
    </w:p>
    <w:p>
      <w:pPr>
        <w:ind w:left="1080" w:right="74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the addition of historical claims data to our platform, we can use our affiliations information to understand and map referral relationships as they change over time;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By pulling in new information on job postings, we can enhance our view on new technology implementations across a health system;</w:t>
      </w:r>
    </w:p>
    <w:p>
      <w:pPr>
        <w:spacing w:after="0" w:line="142" w:lineRule="exact"/>
        <w:rPr>
          <w:rFonts w:ascii="Arial" w:cs="Arial" w:eastAsia="Arial" w:hAnsi="Arial"/>
          <w:sz w:val="17"/>
          <w:szCs w:val="17"/>
          <w:color w:val="auto"/>
        </w:rPr>
      </w:pPr>
    </w:p>
    <w:p>
      <w:pPr>
        <w:ind w:left="1080" w:right="40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a result of comparing procedure data at the physician level to that at the physician group and health system level we can determine where decision making power exists; and</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Through collecting physician address information for individual physicians from numerous locations, we can triangulate the data to determine primary practice locations with a high degree of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134620</wp:posOffset>
            </wp:positionV>
            <wp:extent cx="2005965" cy="19970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0596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65"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As of December 31, 2020, we have a large and diverse base of over 2,500 customers that sell into or compete in the healthcare ecosystem. Our customers range across include healthcare focused companies such as Life Sciences, HCIT and Healthcare Providers as well as other diversified companies, such as financial institutions, health insurance and medical insurance companies, staffing firms and consultants that are looking to sell into the large healthcare market. Our customer contracts are generally one to three years in term, and typically automatically renew unless terminated. We had 292 Enterprise Customers with over $100,000 in ARR at year end 2020, and our NDR for Enterprise Customers was 124%. For 2020, our NDR for all customers over $17,500 ARR was 108%. No single customer accounted for more than 2% of revenue for the twelve months ended December 31, 2020.</w:t>
      </w:r>
    </w:p>
    <w:p>
      <w:pPr>
        <w:spacing w:after="0" w:line="19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integrated platform is designed to drive commercial success for companies that sell into or competes in the healthcare ecosystem, creating a large end-market for us. Significant end markets include:</w:t>
      </w:r>
    </w:p>
    <w:p>
      <w:pPr>
        <w:spacing w:after="0" w:line="76" w:lineRule="exact"/>
        <w:rPr>
          <w:sz w:val="20"/>
          <w:szCs w:val="20"/>
          <w:color w:val="auto"/>
        </w:rPr>
      </w:pPr>
    </w:p>
    <w:p>
      <w:pPr>
        <w:ind w:left="1080" w:right="180" w:hanging="532"/>
        <w:spacing w:after="0" w:line="308"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Life Sciences, </w:t>
      </w:r>
      <w:r>
        <w:rPr>
          <w:rFonts w:ascii="Arial" w:cs="Arial" w:eastAsia="Arial" w:hAnsi="Arial"/>
          <w:sz w:val="17"/>
          <w:szCs w:val="17"/>
          <w:color w:val="auto"/>
        </w:rPr>
        <w:t>including biopharmaceutical, medical device and biotechnology companies who utilize the Definitive platform to analyze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populations, identify experts for clinical trials, develop go-to-market strategies and measure their success.</w:t>
      </w:r>
    </w:p>
    <w:p>
      <w:pPr>
        <w:spacing w:after="0" w:line="51" w:lineRule="exact"/>
        <w:rPr>
          <w:rFonts w:ascii="Arial" w:cs="Arial" w:eastAsia="Arial" w:hAnsi="Arial"/>
          <w:sz w:val="17"/>
          <w:szCs w:val="17"/>
          <w:color w:val="auto"/>
        </w:rPr>
      </w:pPr>
    </w:p>
    <w:p>
      <w:pPr>
        <w:ind w:left="1080" w:right="100" w:hanging="532"/>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Information Technology (HCIT), </w:t>
      </w:r>
      <w:r>
        <w:rPr>
          <w:rFonts w:ascii="Arial" w:cs="Arial" w:eastAsia="Arial" w:hAnsi="Arial"/>
          <w:sz w:val="18"/>
          <w:szCs w:val="18"/>
          <w:color w:val="auto"/>
        </w:rPr>
        <w:t>including companies that develop software or related services for the healthcare ecosystem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 Definitive Healthcare platform to target and segment providers based on need such as high readmission rates, growing service lines (e.g. cardiovascular) or new locations.</w:t>
      </w:r>
    </w:p>
    <w:p>
      <w:pPr>
        <w:spacing w:after="0" w:line="89" w:lineRule="exact"/>
        <w:rPr>
          <w:rFonts w:ascii="Arial" w:cs="Arial" w:eastAsia="Arial" w:hAnsi="Arial"/>
          <w:sz w:val="18"/>
          <w:szCs w:val="18"/>
          <w:color w:val="auto"/>
        </w:rPr>
      </w:pPr>
    </w:p>
    <w:p>
      <w:pPr>
        <w:ind w:left="1080" w:right="500" w:hanging="532"/>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Providers, </w:t>
      </w:r>
      <w:r>
        <w:rPr>
          <w:rFonts w:ascii="Arial" w:cs="Arial" w:eastAsia="Arial" w:hAnsi="Arial"/>
          <w:sz w:val="18"/>
          <w:szCs w:val="18"/>
          <w:color w:val="auto"/>
        </w:rPr>
        <w:t>including hospitals, accountable care organizations, long-term care facilities and other healthcare providers,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the Definitive Healthcare platform to identify and build relationships with referring physicians and facilities and to identify opportunities to keep patients in their provider network.</w:t>
      </w:r>
    </w:p>
    <w:p>
      <w:pPr>
        <w:spacing w:after="0" w:line="89" w:lineRule="exact"/>
        <w:rPr>
          <w:rFonts w:ascii="Arial" w:cs="Arial" w:eastAsia="Arial" w:hAnsi="Arial"/>
          <w:sz w:val="18"/>
          <w:szCs w:val="18"/>
          <w:color w:val="auto"/>
        </w:rPr>
      </w:pPr>
    </w:p>
    <w:p>
      <w:pPr>
        <w:jc w:val="both"/>
        <w:ind w:left="1080" w:right="60" w:hanging="532"/>
        <w:spacing w:after="0" w:line="286"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Diversified Companies, </w:t>
      </w:r>
      <w:r>
        <w:rPr>
          <w:rFonts w:ascii="Arial" w:cs="Arial" w:eastAsia="Arial" w:hAnsi="Arial"/>
          <w:sz w:val="17"/>
          <w:szCs w:val="17"/>
          <w:color w:val="auto"/>
        </w:rPr>
        <w:t>including professional services, financial services, staffing, waste management and other companies that sell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compete in the healthcare ecosystem, access the Definitive Healthcare platform for pricing, targeting and segmentation and for building an ROI case for their products and services based on deep contextual information found in the platform.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a very efficient go-to-market model, driven by a high-velocity inside sales and marketing team, experienced SEs and a well-defined verticalized sales strategy.</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8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Once a new company signs up as a subscriber, they are transferred to our Customer Experience managers (“Cx”) who assist with onboarding and training, answering questions and maintaining a “health score,” a 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segment to ensure subject matter expertise.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 Culture and Values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success is built upon an award-winning culture that is designed to ensure we can attract, develop and retain premier talent. Our guiding principles include:</w:t>
      </w:r>
    </w:p>
    <w:p>
      <w:pPr>
        <w:spacing w:after="0" w:line="76" w:lineRule="exact"/>
        <w:rPr>
          <w:sz w:val="20"/>
          <w:szCs w:val="20"/>
          <w:color w:val="auto"/>
        </w:rPr>
      </w:pPr>
    </w:p>
    <w:p>
      <w:pPr>
        <w:ind w:left="1080" w:right="48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Want to Be the Very Best. </w:t>
      </w:r>
      <w:r>
        <w:rPr>
          <w:rFonts w:ascii="Arial" w:cs="Arial" w:eastAsia="Arial" w:hAnsi="Arial"/>
          <w:sz w:val="18"/>
          <w:szCs w:val="18"/>
          <w:color w:val="auto"/>
        </w:rPr>
        <w:t>We focus on hiring motivated employees who are focused on delivering a high-quality platform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w:t>
      </w:r>
    </w:p>
    <w:p>
      <w:pPr>
        <w:spacing w:after="0" w:line="75" w:lineRule="exact"/>
        <w:rPr>
          <w:rFonts w:ascii="Arial" w:cs="Arial" w:eastAsia="Arial" w:hAnsi="Arial"/>
          <w:sz w:val="18"/>
          <w:szCs w:val="18"/>
          <w:color w:val="auto"/>
        </w:rPr>
      </w:pPr>
    </w:p>
    <w:p>
      <w:pPr>
        <w:jc w:val="both"/>
        <w:ind w:left="1080" w:right="420" w:hanging="532"/>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Innovation is at Our Core. </w:t>
      </w:r>
      <w:r>
        <w:rPr>
          <w:rFonts w:ascii="Arial" w:cs="Arial" w:eastAsia="Arial" w:hAnsi="Arial"/>
          <w:sz w:val="18"/>
          <w:szCs w:val="18"/>
          <w:color w:val="auto"/>
        </w:rPr>
        <w:t>We are constantly disrupting the status quo. We deliver solutions to customers that can have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on their workflow and decision making. We welcome new challenges and are not afraid to push ourselves beyond our comfort zones</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Decisive. </w:t>
      </w:r>
      <w:r>
        <w:rPr>
          <w:rFonts w:ascii="Arial" w:cs="Arial" w:eastAsia="Arial" w:hAnsi="Arial"/>
          <w:sz w:val="18"/>
          <w:szCs w:val="18"/>
          <w:color w:val="auto"/>
        </w:rPr>
        <w:t>Healthcare is evolving rapidly and we meet these changes head on through decisive decision making. If we need to pivot,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so in a quick and timely manner</w:t>
      </w:r>
    </w:p>
    <w:p>
      <w:pPr>
        <w:spacing w:after="0" w:line="75" w:lineRule="exact"/>
        <w:rPr>
          <w:rFonts w:ascii="Arial" w:cs="Arial" w:eastAsia="Arial" w:hAnsi="Arial"/>
          <w:sz w:val="18"/>
          <w:szCs w:val="18"/>
          <w:color w:val="auto"/>
        </w:rPr>
      </w:pPr>
    </w:p>
    <w:p>
      <w:pPr>
        <w:ind w:left="1080" w:right="180" w:hanging="532"/>
        <w:spacing w:after="0" w:line="308"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Measure Everything. </w:t>
      </w:r>
      <w:r>
        <w:rPr>
          <w:rFonts w:ascii="Arial" w:cs="Arial" w:eastAsia="Arial" w:hAnsi="Arial"/>
          <w:sz w:val="17"/>
          <w:szCs w:val="17"/>
          <w:color w:val="auto"/>
        </w:rPr>
        <w:t>In order to continuously improve, we track our progress. We measure everything from sales productivity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yield of our latest A.I. algorithm. This constant benchmarking ensures we optimize the way we deploy our resources.</w:t>
      </w:r>
    </w:p>
    <w:p>
      <w:pPr>
        <w:spacing w:after="0" w:line="51" w:lineRule="exact"/>
        <w:rPr>
          <w:rFonts w:ascii="Arial" w:cs="Arial" w:eastAsia="Arial" w:hAnsi="Arial"/>
          <w:sz w:val="17"/>
          <w:szCs w:val="17"/>
          <w:color w:val="auto"/>
        </w:rPr>
      </w:pPr>
    </w:p>
    <w:p>
      <w:pPr>
        <w:ind w:left="1080" w:right="6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Proud. </w:t>
      </w:r>
      <w:r>
        <w:rPr>
          <w:rFonts w:ascii="Arial" w:cs="Arial" w:eastAsia="Arial" w:hAnsi="Arial"/>
          <w:sz w:val="18"/>
          <w:szCs w:val="18"/>
          <w:color w:val="auto"/>
        </w:rPr>
        <w:t>We have won numerous workplace awards, including Inc. 5000’s Fastest Growing Companies, Stevie Awards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2" w:lineRule="exact"/>
        <w:rPr>
          <w:rFonts w:ascii="Arial" w:cs="Arial" w:eastAsia="Arial" w:hAnsi="Arial"/>
          <w:sz w:val="18"/>
          <w:szCs w:val="18"/>
          <w:color w:val="auto"/>
        </w:rPr>
      </w:pPr>
    </w:p>
    <w:p>
      <w:pPr>
        <w:ind w:left="1080" w:right="160" w:hanging="532"/>
        <w:spacing w:after="0" w:line="279"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Give Back. </w:t>
      </w:r>
      <w:r>
        <w:rPr>
          <w:rFonts w:ascii="Arial" w:cs="Arial" w:eastAsia="Arial" w:hAnsi="Arial"/>
          <w:sz w:val="17"/>
          <w:szCs w:val="17"/>
          <w:color w:val="auto"/>
        </w:rPr>
        <w:t>We are committed to putting our community first and have developed a culture centered around collaboration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76" w:lineRule="exact"/>
        <w:rPr>
          <w:rFonts w:ascii="Arial" w:cs="Arial" w:eastAsia="Arial" w:hAnsi="Arial"/>
          <w:sz w:val="17"/>
          <w:szCs w:val="17"/>
          <w:color w:val="auto"/>
        </w:rPr>
      </w:pPr>
    </w:p>
    <w:p>
      <w:pPr>
        <w:ind w:left="1080" w:right="180" w:hanging="532"/>
        <w:spacing w:after="0" w:line="25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Support Diversity. </w:t>
      </w:r>
      <w:r>
        <w:rPr>
          <w:rFonts w:ascii="Arial" w:cs="Arial" w:eastAsia="Arial" w:hAnsi="Arial"/>
          <w:sz w:val="18"/>
          <w:szCs w:val="18"/>
          <w:color w:val="auto"/>
        </w:rPr>
        <w:t>We are dedicated to supporting diversity and inclusion both inside and outside of the office.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88"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As of December 31, 2020, we had 552 employees, including 334 in Sales and Marketing, 109 in Research and Development, 15 in Product and Data Science, 47 in Software Development and 47 in Administrative and Other functions. We consider our employee relations to be in good standing.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operate in a highly fragmented market. We have a competitive advantage that is based on our comprehensive dataset built up over 11 years, the data science applied which has created proprietary intelligence and linkages that do not exist elsewhere, and a user interface that provides customers access to answers, not data, in an integrated manner. While we believe no competitor matches our breadth of data and intelligence solutions, we compete either directly or indirectly with:</w:t>
      </w:r>
    </w:p>
    <w:p>
      <w:pPr>
        <w:spacing w:after="0" w:line="92"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Legacy raw claims data providers, such as Clarivate, IQVIA and Symphony Health;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Niche healthcare specialists, such as Komodo Health, H1 Healthcare, Marketware, Trella Health and Trilliant Health;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Ecosystem players that may house or analyze similar intelligence, such as SG2, and Veeva;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Horizontal go-to-market intelligence platforms, such as ZoomInfo, LinkedIn and Dun &amp; Bradstreet.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principal competitive factors in our markets are:</w:t>
      </w:r>
    </w:p>
    <w:p>
      <w:pPr>
        <w:spacing w:after="0" w:line="131"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Depth, breadth and accuracy of healthcare-specific intelligence;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Healthcare subject matter expertise;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A.I. and data science capabilities;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Ease of use and deployment;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76" w:lineRule="exact"/>
        <w:rPr>
          <w:sz w:val="20"/>
          <w:szCs w:val="20"/>
          <w:color w:val="auto"/>
        </w:rPr>
      </w:pPr>
    </w:p>
    <w:p>
      <w:pPr>
        <w:ind w:left="120" w:right="820" w:firstLine="440"/>
        <w:spacing w:after="0" w:line="308" w:lineRule="auto"/>
        <w:rPr>
          <w:sz w:val="20"/>
          <w:szCs w:val="20"/>
          <w:color w:val="auto"/>
        </w:rPr>
      </w:pPr>
      <w:r>
        <w:rPr>
          <w:rFonts w:ascii="Arial" w:cs="Arial" w:eastAsia="Arial" w:hAnsi="Arial"/>
          <w:sz w:val="17"/>
          <w:szCs w:val="17"/>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8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addition, certain state and non-U.S. laws, such as the California Consumer Privacy Act (“CCPA”), the California Privacy Rights Act (“CPRA”) and the European Union General Data Protection Regulation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are biographical summaries and a description of the business experience of those individuals who serve as officers and directors of DH Holdings. Upon the consummation of this offering, such individuals will serve in the same capacities at Definitive Healthcare Corp. The following also contains biographical summaries and a description of the business experience of those individuals who will serve as directors of Definitive Healthcare Corp.</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left="891"/>
              <w:spacing w:after="0"/>
              <w:rPr>
                <w:sz w:val="20"/>
                <w:szCs w:val="20"/>
                <w:color w:val="auto"/>
              </w:rPr>
            </w:pPr>
            <w:r>
              <w:rPr>
                <w:rFonts w:ascii="Arial" w:cs="Arial" w:eastAsia="Arial" w:hAnsi="Arial"/>
                <w:sz w:val="14"/>
                <w:szCs w:val="14"/>
                <w:b w:val="1"/>
                <w:bCs w:val="1"/>
                <w:color w:val="auto"/>
                <w:w w:val="90"/>
              </w:rPr>
              <w:t>Age</w:t>
            </w:r>
          </w:p>
        </w:tc>
        <w:tc>
          <w:tcPr>
            <w:tcW w:w="37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0"/>
              </w:rPr>
              <w:t>Jason</w:t>
            </w:r>
          </w:p>
        </w:tc>
        <w:tc>
          <w:tcPr>
            <w:tcW w:w="2080" w:type="dxa"/>
            <w:vAlign w:val="bottom"/>
          </w:tcPr>
          <w:p>
            <w:pPr>
              <w:ind w:left="80"/>
              <w:spacing w:after="0" w:line="195" w:lineRule="exact"/>
              <w:rPr>
                <w:sz w:val="20"/>
                <w:szCs w:val="20"/>
                <w:color w:val="auto"/>
              </w:rPr>
            </w:pPr>
            <w:r>
              <w:rPr>
                <w:rFonts w:ascii="Arial" w:cs="Arial" w:eastAsia="Arial" w:hAnsi="Arial"/>
                <w:sz w:val="18"/>
                <w:szCs w:val="18"/>
                <w:color w:val="auto"/>
              </w:rPr>
              <w:t>Krantz</w:t>
            </w:r>
          </w:p>
        </w:tc>
        <w:tc>
          <w:tcPr>
            <w:tcW w:w="98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48</w:t>
            </w:r>
          </w:p>
        </w:tc>
        <w:tc>
          <w:tcPr>
            <w:tcW w:w="3700" w:type="dxa"/>
            <w:vAlign w:val="bottom"/>
          </w:tcPr>
          <w:p>
            <w:pPr>
              <w:ind w:left="540"/>
              <w:spacing w:after="0" w:line="195" w:lineRule="exact"/>
              <w:rPr>
                <w:sz w:val="20"/>
                <w:szCs w:val="20"/>
                <w:color w:val="auto"/>
              </w:rPr>
            </w:pPr>
            <w:r>
              <w:rPr>
                <w:rFonts w:ascii="Arial" w:cs="Arial" w:eastAsia="Arial" w:hAnsi="Arial"/>
                <w:sz w:val="18"/>
                <w:szCs w:val="18"/>
                <w:color w:val="auto"/>
              </w:rPr>
              <w:t>Chief Executive Officer and Chairman</w:t>
            </w:r>
          </w:p>
        </w:tc>
        <w:tc>
          <w:tcPr>
            <w:tcW w:w="500" w:type="dxa"/>
            <w:vAlign w:val="bottom"/>
            <w:tcBorders>
              <w:top w:val="single" w:sz="8" w:color="auto"/>
            </w:tcBorders>
          </w:tcPr>
          <w:p>
            <w:pPr>
              <w:spacing w:after="0"/>
              <w:rPr>
                <w:sz w:val="16"/>
                <w:szCs w:val="16"/>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Richard Booth</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52</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Financial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David Samuels</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59</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Legal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Joseph Mirisola</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38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Revenue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Kate Shamsuddin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34</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Product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Chris Mitchell</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49</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Jeff Haywood</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43</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Lauren Young</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38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Chris Egan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44</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John Maldonado</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45</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Randall Winn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51</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Al Hamood</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52</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Jill Larsen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Robert Musslewhite</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51</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Jason Krantz</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Krantz has served as the Company’s Chief Executive Officer since he founded the Company in February 2011.</w:t>
      </w:r>
    </w:p>
    <w:p>
      <w:pPr>
        <w:spacing w:after="0" w:line="22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7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believe Mr. Krantz is qualified to serve on our board of directors because of his entrepreneurial experiences, finance and data analytics expertise as well as knowledge of the healthcare industry.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Richard Booth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Booth has served as the Company’s Chief Financial Officer since March 2021.</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2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Samuels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Samuels has served as the Company’s Chief Legal Officer since February 2021.</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Samuels holds a B.A. from Brandeis University and a J.D. from Northeastern University School of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Joseph Mirisola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Mirisola has served as the Company’s Chief Revenue Officer since January 2020.</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Mirisola holds a B.S. in Management Information Systems from the University of Massachusetts-Dartmouth.</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Kate Shamsuddin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Shamsuddin has served as the Company’s Chief Product Officer since January 2020.</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Ms. Shamsuddin holds a B.A. in Anthropology and Global Health from Emory University and an M.S. in Health Policy and Management from Harvard University School of Public Health.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Chris Mitchell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Mitchell has served as a member of the board of directors of the Company since February 2015.</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Jeff Haywood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Haywood has served as a member of the board of directors of the Company since February 2015.</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6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Lauren Young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Young has served as a member of the board of directors of the Company since July 2019.</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P2 Energy Solutions, and CCC Intelligent Solutions, each a privately held company. Ms. Young holds a B.A. from Davidson College and an M.B.A. from the Harvard Business School.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40"/>
          </w:cols>
          <w:pgMar w:left="320" w:top="459" w:right="5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Ms. Young is qualified to serve on our board of directors because of her financial knowledge, investment experience across industries and her service as director of other software solutions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Chris Egan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Egan has served as a member of the board of directors of the Company since July 2019.</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CCC Intelligent Solutions, NielsenIQ and Prisma Medios de Pagos S.A., each a private company. Mr. Egan holds a B.A. in English and Economics from Dartmouth College.</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Mr. Egan is qualified to serve on our board of directors because of his financial knowledge, investment experience and his service as director of other software solutions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John Maldonado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Maldonado has served as a member of the board of directors of the Company since July 2019.</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Mr. Maldonado is a Managing Partner at Advent International Corporation. Prior to joining Advent in 2006, he worked at Bain Capital, a multi-asset alternative investment firm, Parthenon Capital, a private equity firm and the Parthenon Group, a strategy consultancy providing advisory services. He also currently serves on the board of directors of AccentCare, Inc., a provider in post-acute healthcare services, ATI Physical Therapy, Inc. (“ATI”) and RxBenefits, each a private company. Mr. Maldonado received his B.A. in mathematics, summa cum laude, from Dartmouth College and his M.B.A., with high distinction, as a Baker Scholar from Harvard Business School.</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Mr. Maldonado is qualified to serve on our board of directors because of his investment and consulting experience, knowledge of the healthcare industry and related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Randall Winn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Winn has served as a member of the board of directors of the Company since September 2019.</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Mr. Winn is qualified to serve on our board of directors because of his financial knowledge, investment experience and his service as director of other software solutions companies.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 Hamood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Hamood has served as a member of the board of directors of the Company since September 2020.</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Mr. Hamood currently serves as Executive Vice President and Chief Financial Officer at Culligan International Co (“Culligan”), a private water treatment product manufacturing company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a public company that is a leading provider of software and analytics, network solutions and technology-enabled services, from August 2017 to January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J.D. from the Southwestern University School of Law.</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Mr. Hamood is qualified to serve on our board of directors because of his financial expertise and experience in and knowledge of the healthcare industry.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Jill Larsen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Larsen has served as a member of the board of directors of the Company since April 2021.</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Jill Larsen currently serves as the Chief People Officer &amp; Executive Vice President at PTC Inc., a global software company in the industrial and manufacturing space. Prior to her time at PTC, Ms. Larsen served as the Executive Vice President - 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6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believe Ms. Larsen is qualified to serve on our board of directors because of her extensive experience in talent acquisition strategies and human resources expertise in technology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Robert Musslewhite</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Mr. Musslewhite has served as a member of the board of directors of the Company since June 2021. Mr. Musslewhite has been the Chief Executive Officer of OptumInsight, Optum’s health services business connecting the health care system with services, analytics, and platforms designed to make clinical and administrative processes easier and more efficient, since August 2019. He joined Optum following Optum’s acquisition of The Advisory Board Company, a publicly traded company that provided best practices research and insight, technology, data-enabled services and consulting services, where he served as Chief Executive Officer from 2008 until 2017 and Chairman from 2013 to 2017. Prior to his appointment as Chief Executive Officer of OptumInsight, Mr.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Mr. Musslewhite was an Associate Principal with McKinsey &amp; Company, a global management consulting firm, in the Washington, D.C., Amsterdam, and Dallas offices. Mr. Musslewhite currently serves on the Boards of Directors of CoStar Group (NASDAQ: CSGP) and Ascend Learning, he is a member of the Economics Club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Washington D.C., and he recently completed service as Chair of the Board of Governors of St. Albans School. Mr. Musslewhite received a J.D. from Harvard Law School and an A.B. in Economics from Princeton University.</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Mr. Musslewhite is qualified to serve on our board of directors because of his consulting experience, knowledge of the healthcare industry and experience with healthcare data analytics.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will provide that our</w:t>
      </w:r>
    </w:p>
    <w:p>
      <w:pPr>
        <w:spacing w:after="0" w:line="46" w:lineRule="exact"/>
        <w:rPr>
          <w:sz w:val="20"/>
          <w:szCs w:val="20"/>
          <w:color w:val="auto"/>
        </w:rPr>
      </w:pPr>
    </w:p>
    <w:p>
      <w:pPr>
        <w:ind w:left="120"/>
        <w:spacing w:after="0"/>
        <w:tabs>
          <w:tab w:leader="none" w:pos="2900" w:val="left"/>
          <w:tab w:leader="none" w:pos="4160" w:val="left"/>
        </w:tabs>
        <w:rPr>
          <w:sz w:val="20"/>
          <w:szCs w:val="20"/>
          <w:color w:val="auto"/>
        </w:rPr>
      </w:pPr>
      <w:r>
        <w:rPr>
          <w:rFonts w:ascii="Arial" w:cs="Arial" w:eastAsia="Arial" w:hAnsi="Arial"/>
          <w:sz w:val="18"/>
          <w:szCs w:val="18"/>
          <w:color w:val="auto"/>
        </w:rPr>
        <w:t>Board consist of between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directors. Contemporaneously with this offering, our Board will be composed of</w:t>
      </w:r>
    </w:p>
    <w:p>
      <w:pPr>
        <w:spacing w:after="0" w:line="9" w:lineRule="exact"/>
        <w:rPr>
          <w:sz w:val="20"/>
          <w:szCs w:val="20"/>
          <w:color w:val="auto"/>
        </w:rPr>
      </w:pPr>
    </w:p>
    <w:p>
      <w:pPr>
        <w:ind w:left="120"/>
        <w:spacing w:after="0"/>
        <w:tabs>
          <w:tab w:leader="none" w:pos="8760" w:val="left"/>
        </w:tabs>
        <w:rPr>
          <w:sz w:val="20"/>
          <w:szCs w:val="20"/>
          <w:color w:val="auto"/>
        </w:rPr>
      </w:pPr>
      <w:r>
        <w:rPr>
          <w:rFonts w:ascii="Arial" w:cs="Arial" w:eastAsia="Arial" w:hAnsi="Arial"/>
          <w:sz w:val="18"/>
          <w:szCs w:val="18"/>
          <w:color w:val="auto"/>
        </w:rPr>
        <w:t>directors divided into three classes, with terms staggered according to class. Class I will initially consist of</w:t>
      </w:r>
      <w:r>
        <w:rPr>
          <w:sz w:val="20"/>
          <w:szCs w:val="20"/>
          <w:color w:val="auto"/>
        </w:rPr>
        <w:tab/>
      </w:r>
      <w:r>
        <w:rPr>
          <w:rFonts w:ascii="Arial" w:cs="Arial" w:eastAsia="Arial" w:hAnsi="Arial"/>
          <w:sz w:val="17"/>
          <w:szCs w:val="17"/>
          <w:color w:val="auto"/>
        </w:rPr>
        <w:t>directors, Class II will initially</w:t>
      </w:r>
    </w:p>
    <w:p>
      <w:pPr>
        <w:spacing w:after="0" w:line="9" w:lineRule="exact"/>
        <w:rPr>
          <w:sz w:val="20"/>
          <w:szCs w:val="20"/>
          <w:color w:val="auto"/>
        </w:rPr>
      </w:pPr>
    </w:p>
    <w:p>
      <w:pPr>
        <w:ind w:left="120"/>
        <w:spacing w:after="0"/>
        <w:tabs>
          <w:tab w:leader="none" w:pos="1780" w:val="left"/>
          <w:tab w:leader="none" w:pos="5860" w:val="left"/>
        </w:tabs>
        <w:rPr>
          <w:sz w:val="20"/>
          <w:szCs w:val="20"/>
          <w:color w:val="auto"/>
        </w:rPr>
      </w:pPr>
      <w:r>
        <w:rPr>
          <w:rFonts w:ascii="Arial" w:cs="Arial" w:eastAsia="Arial" w:hAnsi="Arial"/>
          <w:sz w:val="18"/>
          <w:szCs w:val="18"/>
          <w:color w:val="auto"/>
        </w:rPr>
        <w:t>consist of</w:t>
      </w:r>
      <w:r>
        <w:rPr>
          <w:sz w:val="20"/>
          <w:szCs w:val="20"/>
          <w:color w:val="auto"/>
        </w:rPr>
        <w:tab/>
      </w:r>
      <w:r>
        <w:rPr>
          <w:rFonts w:ascii="Arial" w:cs="Arial" w:eastAsia="Arial" w:hAnsi="Arial"/>
          <w:sz w:val="18"/>
          <w:szCs w:val="18"/>
          <w:color w:val="auto"/>
        </w:rPr>
        <w:t>directors and Class III will initially consist of</w:t>
      </w:r>
      <w:r>
        <w:rPr>
          <w:sz w:val="20"/>
          <w:szCs w:val="20"/>
          <w:color w:val="auto"/>
        </w:rPr>
        <w:tab/>
      </w:r>
      <w:r>
        <w:rPr>
          <w:rFonts w:ascii="Arial" w:cs="Arial" w:eastAsia="Arial" w:hAnsi="Arial"/>
          <w:sz w:val="16"/>
          <w:szCs w:val="16"/>
          <w:color w:val="auto"/>
        </w:rPr>
        <w:t>directors. The Class I directors, whose terms will expire at the first</w:t>
      </w:r>
    </w:p>
    <w:p>
      <w:pPr>
        <w:spacing w:after="0" w:line="9" w:lineRule="exact"/>
        <w:rPr>
          <w:sz w:val="20"/>
          <w:szCs w:val="20"/>
          <w:color w:val="auto"/>
        </w:rPr>
      </w:pPr>
    </w:p>
    <w:p>
      <w:pPr>
        <w:ind w:left="120"/>
        <w:spacing w:after="0"/>
        <w:tabs>
          <w:tab w:leader="none" w:pos="9660" w:val="left"/>
        </w:tabs>
        <w:rPr>
          <w:sz w:val="20"/>
          <w:szCs w:val="20"/>
          <w:color w:val="auto"/>
        </w:rPr>
      </w:pPr>
      <w:r>
        <w:rPr>
          <w:rFonts w:ascii="Arial" w:cs="Arial" w:eastAsia="Arial" w:hAnsi="Arial"/>
          <w:sz w:val="18"/>
          <w:szCs w:val="18"/>
          <w:color w:val="auto"/>
        </w:rPr>
        <w:t>annual meeting of our stockholders following the filing of our amended and restated certificate of incorporation, will be</w:t>
      </w:r>
      <w:r>
        <w:rPr>
          <w:sz w:val="20"/>
          <w:szCs w:val="20"/>
          <w:color w:val="auto"/>
        </w:rPr>
        <w:tab/>
      </w:r>
      <w:r>
        <w:rPr>
          <w:rFonts w:ascii="Arial" w:cs="Arial" w:eastAsia="Arial" w:hAnsi="Arial"/>
          <w:sz w:val="16"/>
          <w:szCs w:val="16"/>
          <w:color w:val="auto"/>
        </w:rPr>
        <w:t>. The Class II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directors, whose terms will expire at the second annual meeting of our stockholders following the filing of our amended and restated certificate of</w:t>
      </w:r>
    </w:p>
    <w:p>
      <w:pPr>
        <w:spacing w:after="0" w:line="39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incorporation, will be . The Class III directors, whose terms will expire at the third annual meeting of our stockholders following the filing of our amended and restated certificate of incorporation, will be . See “Description of Capital Stock—Anti-takeover Provisions” for more information.</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Messrs. Maldonado and Egan and Ms. Young were appointed to serve as members of the board of managers, each as an Advent Manager, and Messrs. Mitchell and Haywood were appointed to serve as members of the board of managers, each as a Spectrum Manager, pursuant to the Amended and Restated Limited Liability Company Agreement of AIDH Topco, LLC, dated as of July 16, 2019, by and among the Company and members of AIDH Topco, LLC. Mr. Winn was appointed as a member of the board of managers as a 22C Manager pursuant to Amendment No. 1 to the Amended and Restated Limited Liability Company Agreement of AIDH Topco, LLC, dated as of September 13, 2019, by and among the Company and the members of AIDH Topco, LLC.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Board currently has an Audit Committee and a Compensation Committee and, in connection with the consummation of this offering, the Board will also establish a nominating and corporate governance committee. Each committee will have a charter that has been approved by our Board and that will be available on our website. Each committee will have the composition and responsibilities described below. Members serve on our Board committees until their resignations or until otherwise determined by our Board.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purposes of our Audit Committee under the committee’s charter will be to assist the Board’s oversight of:</w:t>
      </w:r>
    </w:p>
    <w:p>
      <w:pPr>
        <w:spacing w:after="0" w:line="131"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audits of our 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process relating to risk management and the conduct and systems of internal control over financial reporting and disclosure controls and procedures;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qualifications, engagement, compensation, independence and performance of our independent auditor;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0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519"/>
        </w:trPr>
        <w:tc>
          <w:tcPr>
            <w:tcW w:w="7180" w:type="dxa"/>
            <w:vAlign w:val="bottom"/>
            <w:gridSpan w:val="4"/>
          </w:tcPr>
          <w:p>
            <w:pPr>
              <w:ind w:left="560"/>
              <w:spacing w:after="0"/>
              <w:rPr>
                <w:sz w:val="20"/>
                <w:szCs w:val="20"/>
                <w:color w:val="auto"/>
              </w:rPr>
            </w:pPr>
            <w:r>
              <w:rPr>
                <w:rFonts w:ascii="Arial" w:cs="Arial" w:eastAsia="Arial" w:hAnsi="Arial"/>
                <w:sz w:val="18"/>
                <w:szCs w:val="18"/>
                <w:color w:val="auto"/>
              </w:rPr>
              <w:t>Upon the consummation of this offering, our Audit Committee will be composed of</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ind w:left="840"/>
              <w:spacing w:after="0"/>
              <w:rPr>
                <w:sz w:val="20"/>
                <w:szCs w:val="20"/>
                <w:color w:val="auto"/>
              </w:rPr>
            </w:pPr>
            <w:r>
              <w:rPr>
                <w:rFonts w:ascii="Arial" w:cs="Arial" w:eastAsia="Arial" w:hAnsi="Arial"/>
                <w:sz w:val="18"/>
                <w:szCs w:val="18"/>
                <w:color w:val="auto"/>
              </w:rPr>
              <w:t>and</w:t>
            </w:r>
          </w:p>
        </w:tc>
        <w:tc>
          <w:tcPr>
            <w:tcW w:w="14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will</w:t>
            </w:r>
          </w:p>
        </w:tc>
      </w:tr>
      <w:tr>
        <w:trPr>
          <w:trHeight w:val="216"/>
        </w:trPr>
        <w:tc>
          <w:tcPr>
            <w:tcW w:w="3380" w:type="dxa"/>
            <w:vAlign w:val="bottom"/>
            <w:gridSpan w:val="2"/>
          </w:tcPr>
          <w:p>
            <w:pPr>
              <w:ind w:left="120"/>
              <w:spacing w:after="0"/>
              <w:rPr>
                <w:sz w:val="20"/>
                <w:szCs w:val="20"/>
                <w:color w:val="auto"/>
              </w:rPr>
            </w:pPr>
            <w:r>
              <w:rPr>
                <w:rFonts w:ascii="Arial" w:cs="Arial" w:eastAsia="Arial" w:hAnsi="Arial"/>
                <w:sz w:val="18"/>
                <w:szCs w:val="18"/>
                <w:color w:val="auto"/>
              </w:rPr>
              <w:t>serve as chair of the Audit Committee.</w:t>
            </w:r>
          </w:p>
        </w:tc>
        <w:tc>
          <w:tcPr>
            <w:tcW w:w="7300" w:type="dxa"/>
            <w:vAlign w:val="bottom"/>
            <w:gridSpan w:val="5"/>
          </w:tcPr>
          <w:p>
            <w:pPr>
              <w:jc w:val="right"/>
              <w:spacing w:after="0"/>
              <w:rPr>
                <w:sz w:val="20"/>
                <w:szCs w:val="20"/>
                <w:color w:val="auto"/>
              </w:rPr>
            </w:pPr>
            <w:r>
              <w:rPr>
                <w:rFonts w:ascii="Arial" w:cs="Arial" w:eastAsia="Arial" w:hAnsi="Arial"/>
                <w:sz w:val="18"/>
                <w:szCs w:val="18"/>
                <w:color w:val="auto"/>
                <w:w w:val="96"/>
              </w:rPr>
              <w:t>qualifies as an “audit committee financial expert” as such term has been defined by the SEC in</w:t>
            </w:r>
          </w:p>
        </w:tc>
        <w:tc>
          <w:tcPr>
            <w:tcW w:w="340" w:type="dxa"/>
            <w:vAlign w:val="bottom"/>
          </w:tcPr>
          <w:p>
            <w:pPr>
              <w:spacing w:after="0"/>
              <w:rPr>
                <w:sz w:val="18"/>
                <w:szCs w:val="18"/>
                <w:color w:val="auto"/>
              </w:rPr>
            </w:pPr>
          </w:p>
        </w:tc>
      </w:tr>
      <w:tr>
        <w:trPr>
          <w:trHeight w:val="216"/>
        </w:trPr>
        <w:tc>
          <w:tcPr>
            <w:tcW w:w="6160" w:type="dxa"/>
            <w:vAlign w:val="bottom"/>
            <w:gridSpan w:val="3"/>
          </w:tcPr>
          <w:p>
            <w:pPr>
              <w:ind w:left="120"/>
              <w:spacing w:after="0"/>
              <w:rPr>
                <w:sz w:val="20"/>
                <w:szCs w:val="20"/>
                <w:color w:val="auto"/>
              </w:rPr>
            </w:pPr>
            <w:r>
              <w:rPr>
                <w:rFonts w:ascii="Arial" w:cs="Arial" w:eastAsia="Arial" w:hAnsi="Arial"/>
                <w:sz w:val="18"/>
                <w:szCs w:val="18"/>
                <w:color w:val="auto"/>
              </w:rPr>
              <w:t>Item 407(d) of Regulation S-K. Our Board has affirmatively determined that</w:t>
            </w:r>
          </w:p>
        </w:tc>
        <w:tc>
          <w:tcPr>
            <w:tcW w:w="1020" w:type="dxa"/>
            <w:vAlign w:val="bottom"/>
          </w:tcPr>
          <w:p>
            <w:pPr>
              <w:ind w:left="400"/>
              <w:spacing w:after="0"/>
              <w:rPr>
                <w:sz w:val="20"/>
                <w:szCs w:val="20"/>
                <w:color w:val="auto"/>
              </w:rPr>
            </w:pPr>
            <w:r>
              <w:rPr>
                <w:rFonts w:ascii="Arial" w:cs="Arial" w:eastAsia="Arial" w:hAnsi="Arial"/>
                <w:sz w:val="18"/>
                <w:szCs w:val="18"/>
                <w:color w:val="auto"/>
              </w:rPr>
              <w:t>and</w:t>
            </w:r>
          </w:p>
        </w:tc>
        <w:tc>
          <w:tcPr>
            <w:tcW w:w="500" w:type="dxa"/>
            <w:vAlign w:val="bottom"/>
          </w:tcPr>
          <w:p>
            <w:pPr>
              <w:spacing w:after="0"/>
              <w:rPr>
                <w:sz w:val="18"/>
                <w:szCs w:val="18"/>
                <w:color w:val="auto"/>
              </w:rPr>
            </w:pPr>
          </w:p>
        </w:tc>
        <w:tc>
          <w:tcPr>
            <w:tcW w:w="300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meet the definition of an “independent</w:t>
            </w:r>
          </w:p>
        </w:tc>
        <w:tc>
          <w:tcPr>
            <w:tcW w:w="340" w:type="dxa"/>
            <w:vAlign w:val="bottom"/>
          </w:tcPr>
          <w:p>
            <w:pPr>
              <w:spacing w:after="0"/>
              <w:rPr>
                <w:sz w:val="18"/>
                <w:szCs w:val="18"/>
                <w:color w:val="auto"/>
              </w:rPr>
            </w:pPr>
          </w:p>
        </w:tc>
      </w:tr>
      <w:tr>
        <w:trPr>
          <w:trHeight w:val="230"/>
        </w:trPr>
        <w:tc>
          <w:tcPr>
            <w:tcW w:w="6160" w:type="dxa"/>
            <w:vAlign w:val="bottom"/>
            <w:gridSpan w:val="3"/>
          </w:tcPr>
          <w:p>
            <w:pPr>
              <w:ind w:left="120"/>
              <w:spacing w:after="0"/>
              <w:rPr>
                <w:sz w:val="20"/>
                <w:szCs w:val="20"/>
                <w:color w:val="auto"/>
              </w:rPr>
            </w:pPr>
            <w:r>
              <w:rPr>
                <w:rFonts w:ascii="Arial" w:cs="Arial" w:eastAsia="Arial" w:hAnsi="Arial"/>
                <w:sz w:val="18"/>
                <w:szCs w:val="18"/>
                <w:color w:val="auto"/>
                <w:w w:val="97"/>
              </w:rPr>
              <w:t>director” for the purposes of serving on the Audit Committee under applicable</w:t>
            </w:r>
          </w:p>
        </w:tc>
        <w:tc>
          <w:tcPr>
            <w:tcW w:w="4860" w:type="dxa"/>
            <w:vAlign w:val="bottom"/>
            <w:gridSpan w:val="5"/>
          </w:tcPr>
          <w:p>
            <w:pPr>
              <w:ind w:left="540"/>
              <w:spacing w:after="0"/>
              <w:rPr>
                <w:sz w:val="20"/>
                <w:szCs w:val="20"/>
                <w:color w:val="auto"/>
              </w:rPr>
            </w:pPr>
            <w:r>
              <w:rPr>
                <w:rFonts w:ascii="Arial" w:cs="Arial" w:eastAsia="Arial" w:hAnsi="Arial"/>
                <w:sz w:val="18"/>
                <w:szCs w:val="18"/>
                <w:color w:val="auto"/>
                <w:w w:val="90"/>
              </w:rPr>
              <w:t>rules and Rule 10A-3 under the Exchange Act. We intend to</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comply with these independence requirements for all members of the Audit Committee within the time periods specified under such rules. The Audit</w:t>
      </w:r>
    </w:p>
    <w:p>
      <w:pPr>
        <w:spacing w:after="0" w:line="32" w:lineRule="exact"/>
        <w:rPr>
          <w:sz w:val="20"/>
          <w:szCs w:val="20"/>
          <w:color w:val="auto"/>
        </w:rPr>
      </w:pPr>
    </w:p>
    <w:p>
      <w:pPr>
        <w:ind w:left="120"/>
        <w:spacing w:after="0"/>
        <w:tabs>
          <w:tab w:leader="none" w:pos="6480" w:val="left"/>
        </w:tabs>
        <w:rPr>
          <w:sz w:val="20"/>
          <w:szCs w:val="20"/>
          <w:color w:val="auto"/>
        </w:rPr>
      </w:pPr>
      <w:r>
        <w:rPr>
          <w:rFonts w:ascii="Arial" w:cs="Arial" w:eastAsia="Arial" w:hAnsi="Arial"/>
          <w:sz w:val="18"/>
          <w:szCs w:val="18"/>
          <w:color w:val="auto"/>
        </w:rPr>
        <w:t>Committee will be governed by a charter that complies with the rules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primary purposes of our Compensation Committee under the committee’s charter will be to assist the Board in overseeing our management compensation policies and practices, including:</w:t>
      </w:r>
    </w:p>
    <w:p>
      <w:pPr>
        <w:spacing w:after="0" w:line="76"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determining and approving the compensation of our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reviewing and approving incentive compensation and equity compensation policies and programs.</w:t>
      </w:r>
    </w:p>
    <w:p>
      <w:pPr>
        <w:sectPr>
          <w:pgSz w:w="11900" w:h="16838" w:orient="portrait"/>
          <w:cols w:equalWidth="0" w:num="1">
            <w:col w:w="11100"/>
          </w:cols>
          <w:pgMar w:left="320" w:top="445" w:right="479" w:bottom="1440" w:gutter="0" w:footer="0" w:header="0"/>
        </w:sectPr>
      </w:pPr>
    </w:p>
    <w:p>
      <w:pPr>
        <w:spacing w:after="0" w:line="225" w:lineRule="exact"/>
        <w:rPr>
          <w:sz w:val="20"/>
          <w:szCs w:val="20"/>
          <w:color w:val="auto"/>
        </w:rPr>
      </w:pPr>
    </w:p>
    <w:p>
      <w:pPr>
        <w:ind w:left="560"/>
        <w:spacing w:after="0"/>
        <w:tabs>
          <w:tab w:leader="none" w:pos="8140" w:val="left"/>
          <w:tab w:leader="none" w:pos="9340" w:val="left"/>
        </w:tabs>
        <w:rPr>
          <w:sz w:val="20"/>
          <w:szCs w:val="20"/>
          <w:color w:val="auto"/>
        </w:rPr>
      </w:pPr>
      <w:r>
        <w:rPr>
          <w:rFonts w:ascii="Arial" w:cs="Arial" w:eastAsia="Arial" w:hAnsi="Arial"/>
          <w:sz w:val="18"/>
          <w:szCs w:val="18"/>
          <w:color w:val="auto"/>
        </w:rPr>
        <w:t>Upon the consummation of this offering, our Compensation Committee will be composed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chair of the Compensation Committee. The Compensation Committee will be governed by a charter that complies with the rules of the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will serve</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0000" w:space="360"/>
            <w:col w:w="740"/>
          </w:cols>
          <w:pgMar w:left="320" w:top="445" w:right="479" w:bottom="1440" w:gutter="0" w:footer="0" w:header="0"/>
          <w:type w:val="continuous"/>
        </w:sectPr>
      </w:pP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the consummation of this offering, our Board will establish a nominating and corporate governance committee. The primary purposes of our nominating and corporate governance committee will be to recommend candidates for appointment to the Board and to review the corporate governance guidelines of the Company, including:</w:t>
      </w:r>
    </w:p>
    <w:p>
      <w:pPr>
        <w:spacing w:after="0" w:line="8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identifying and screening individuals qualified to serve as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developing, recommending to the Board and reviewing the Company’s corporate governance guidelines;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and its committees; and</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reviewing on a regular basis the overall corporate governance of the Company and recommending improvements to the Board where appropriate.</w:t>
      </w:r>
    </w:p>
    <w:p>
      <w:pPr>
        <w:spacing w:after="0" w:line="170" w:lineRule="exact"/>
        <w:rPr>
          <w:sz w:val="20"/>
          <w:szCs w:val="20"/>
          <w:color w:val="auto"/>
        </w:rPr>
      </w:pPr>
    </w:p>
    <w:p>
      <w:pPr>
        <w:ind w:left="120" w:right="140" w:firstLine="440"/>
        <w:spacing w:after="0" w:line="258" w:lineRule="auto"/>
        <w:rPr>
          <w:sz w:val="20"/>
          <w:szCs w:val="20"/>
          <w:color w:val="auto"/>
        </w:rPr>
      </w:pPr>
      <w:r>
        <w:rPr>
          <w:rFonts w:ascii="Arial" w:cs="Arial" w:eastAsia="Arial" w:hAnsi="Arial"/>
          <w:sz w:val="18"/>
          <w:szCs w:val="18"/>
          <w:color w:val="auto"/>
        </w:rPr>
        <w:t>The nominating and corporate governance committee will be comprised of , and . will serve as the chair of the nominating and corporate governance committee. The nominating and corporate governance committee will be governed by a charter</w:t>
      </w:r>
    </w:p>
    <w:p>
      <w:pPr>
        <w:spacing w:after="0" w:line="1" w:lineRule="exact"/>
        <w:rPr>
          <w:sz w:val="20"/>
          <w:szCs w:val="20"/>
          <w:color w:val="auto"/>
        </w:rPr>
      </w:pPr>
    </w:p>
    <w:p>
      <w:pPr>
        <w:ind w:left="120"/>
        <w:spacing w:after="0"/>
        <w:tabs>
          <w:tab w:leader="none" w:pos="3480" w:val="left"/>
        </w:tabs>
        <w:rPr>
          <w:sz w:val="20"/>
          <w:szCs w:val="20"/>
          <w:color w:val="auto"/>
        </w:rPr>
      </w:pPr>
      <w:r>
        <w:rPr>
          <w:rFonts w:ascii="Arial" w:cs="Arial" w:eastAsia="Arial" w:hAnsi="Arial"/>
          <w:sz w:val="18"/>
          <w:szCs w:val="18"/>
          <w:color w:val="auto"/>
        </w:rPr>
        <w:t>that complies with the rules of the</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560"/>
        <w:spacing w:after="0"/>
        <w:tabs>
          <w:tab w:leader="none" w:pos="6180" w:val="left"/>
          <w:tab w:leader="none" w:pos="7180" w:val="left"/>
          <w:tab w:leader="none" w:pos="8480" w:val="left"/>
        </w:tabs>
        <w:rPr>
          <w:sz w:val="20"/>
          <w:szCs w:val="20"/>
          <w:color w:val="auto"/>
        </w:rPr>
      </w:pPr>
      <w:r>
        <w:rPr>
          <w:rFonts w:ascii="Arial" w:cs="Arial" w:eastAsia="Arial" w:hAnsi="Arial"/>
          <w:sz w:val="18"/>
          <w:szCs w:val="18"/>
          <w:color w:val="auto"/>
        </w:rPr>
        <w:t>The members of our Compensation Committee during 2021 were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During 2021, none of our</w:t>
      </w:r>
    </w:p>
    <w:p>
      <w:pPr>
        <w:spacing w:after="0" w:line="2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we will indemnify our executive officers and directors to the fullest extent permitted by the DGCL.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45" w:right="47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completion of this offering, we will amend our code of business conduct and ethics that applies to all of our employees, officers and directors. A copy of the amended code will be available on our website located at www.definitivehc.com. Any amendments or waivers from our code for our principal executive officer, principal financial officer, principal accounting officer or controller, or persons performing similar functions will be disclosed on our Internet website promptly following the date of such amendment or waiver.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560"/>
        <w:spacing w:after="0"/>
        <w:tabs>
          <w:tab w:leader="none" w:pos="10300" w:val="left"/>
        </w:tabs>
        <w:rPr>
          <w:sz w:val="20"/>
          <w:szCs w:val="20"/>
          <w:color w:val="auto"/>
        </w:rPr>
      </w:pPr>
      <w:r>
        <w:rPr>
          <w:rFonts w:ascii="Arial" w:cs="Arial" w:eastAsia="Arial" w:hAnsi="Arial"/>
          <w:sz w:val="18"/>
          <w:szCs w:val="18"/>
          <w:color w:val="auto"/>
        </w:rPr>
        <w:t>Our Board will adopt corporate governance guidelines in accordance with the applicable corporate governance rules of the</w:t>
      </w:r>
      <w:r>
        <w:rPr>
          <w:sz w:val="20"/>
          <w:szCs w:val="20"/>
          <w:color w:val="auto"/>
        </w:rPr>
        <w:tab/>
      </w:r>
      <w:r>
        <w:rPr>
          <w:rFonts w:ascii="Arial" w:cs="Arial" w:eastAsia="Arial" w:hAnsi="Arial"/>
          <w:sz w:val="15"/>
          <w:szCs w:val="15"/>
          <w:color w:val="auto"/>
        </w:rPr>
        <w:t>that serve</w:t>
      </w:r>
    </w:p>
    <w:p>
      <w:pPr>
        <w:spacing w:after="0" w:line="23" w:lineRule="exact"/>
        <w:rPr>
          <w:sz w:val="20"/>
          <w:szCs w:val="20"/>
          <w:color w:val="auto"/>
        </w:rPr>
      </w:pPr>
    </w:p>
    <w:p>
      <w:pPr>
        <w:ind w:left="120" w:right="200"/>
        <w:spacing w:after="0" w:line="270" w:lineRule="auto"/>
        <w:rPr>
          <w:sz w:val="20"/>
          <w:szCs w:val="20"/>
          <w:color w:val="auto"/>
        </w:rPr>
      </w:pPr>
      <w:r>
        <w:rPr>
          <w:rFonts w:ascii="Arial" w:cs="Arial" w:eastAsia="Arial" w:hAnsi="Arial"/>
          <w:sz w:val="17"/>
          <w:szCs w:val="17"/>
          <w:color w:val="auto"/>
        </w:rPr>
        <w:t>as a flexible framework within which our Board and its committees operate. These guidelines will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company employees and independent advisers, Board communication with stockholders and others, director compensation and annual board and committee performance evaluations. A copy of our corporate governance guidelines will be posted on our website.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were:</w:t>
      </w:r>
    </w:p>
    <w:p>
      <w:pPr>
        <w:spacing w:after="0" w:line="116"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Jason Krantz, our Chairman and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Kevin Shone, our former Chief Financial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Joseph Mirisola, our Chief Revenue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certain information regarding the total compensation awarded to, earned by or paid to our NEOs in fiscal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Non-Equity</w:t>
            </w:r>
          </w:p>
        </w:tc>
        <w:tc>
          <w:tcPr>
            <w:tcW w:w="16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4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1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Bonus(2)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Compensation(3)</w:t>
            </w:r>
          </w:p>
        </w:tc>
        <w:tc>
          <w:tcPr>
            <w:tcW w:w="12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Compensation(4)</w:t>
            </w: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$420,250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$25,000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86"/>
              </w:rPr>
              <w:t>310,770</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29,677</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$760,697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and Chief Executive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Kevin Shone</w:t>
            </w:r>
            <w:r>
              <w:rPr>
                <w:rFonts w:ascii="Arial" w:cs="Arial" w:eastAsia="Arial" w:hAnsi="Arial"/>
                <w:sz w:val="15"/>
                <w:szCs w:val="15"/>
                <w:color w:val="auto"/>
              </w:rPr>
              <w:t>(1)</w:t>
            </w:r>
          </w:p>
        </w:tc>
        <w:tc>
          <w:tcPr>
            <w:tcW w:w="1120" w:type="dxa"/>
            <w:vAlign w:val="bottom"/>
            <w:gridSpan w:val="3"/>
          </w:tcPr>
          <w:p>
            <w:pPr>
              <w:ind w:left="380"/>
              <w:spacing w:after="0" w:line="201" w:lineRule="exact"/>
              <w:rPr>
                <w:sz w:val="20"/>
                <w:szCs w:val="20"/>
                <w:color w:val="auto"/>
              </w:rPr>
            </w:pPr>
            <w:r>
              <w:rPr>
                <w:rFonts w:ascii="Arial" w:cs="Arial" w:eastAsia="Arial" w:hAnsi="Arial"/>
                <w:sz w:val="18"/>
                <w:szCs w:val="18"/>
                <w:color w:val="auto"/>
              </w:rPr>
              <w:t>2020</w:t>
            </w:r>
          </w:p>
        </w:tc>
        <w:tc>
          <w:tcPr>
            <w:tcW w:w="88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3"/>
              </w:rPr>
              <w:t>$280,500</w:t>
            </w:r>
          </w:p>
        </w:tc>
        <w:tc>
          <w:tcPr>
            <w:tcW w:w="980" w:type="dxa"/>
            <w:vAlign w:val="bottom"/>
            <w:gridSpan w:val="3"/>
          </w:tcPr>
          <w:p>
            <w:pPr>
              <w:jc w:val="center"/>
              <w:ind w:right="20"/>
              <w:spacing w:after="0" w:line="201" w:lineRule="exact"/>
              <w:rPr>
                <w:sz w:val="20"/>
                <w:szCs w:val="20"/>
                <w:color w:val="auto"/>
              </w:rPr>
            </w:pPr>
            <w:r>
              <w:rPr>
                <w:rFonts w:ascii="Arial" w:cs="Arial" w:eastAsia="Arial" w:hAnsi="Arial"/>
                <w:sz w:val="18"/>
                <w:szCs w:val="18"/>
                <w:color w:val="auto"/>
                <w:w w:val="92"/>
              </w:rPr>
              <w:t>$25,000</w:t>
            </w:r>
          </w:p>
        </w:tc>
        <w:tc>
          <w:tcPr>
            <w:tcW w:w="2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125,000</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31,807</w:t>
            </w:r>
          </w:p>
        </w:tc>
        <w:tc>
          <w:tcPr>
            <w:tcW w:w="940" w:type="dxa"/>
            <w:vAlign w:val="bottom"/>
            <w:gridSpan w:val="3"/>
          </w:tcPr>
          <w:p>
            <w:pPr>
              <w:jc w:val="center"/>
              <w:ind w:left="30"/>
              <w:spacing w:after="0" w:line="201" w:lineRule="exact"/>
              <w:rPr>
                <w:sz w:val="20"/>
                <w:szCs w:val="20"/>
                <w:color w:val="auto"/>
              </w:rPr>
            </w:pPr>
            <w:r>
              <w:rPr>
                <w:rFonts w:ascii="Arial" w:cs="Arial" w:eastAsia="Arial" w:hAnsi="Arial"/>
                <w:sz w:val="18"/>
                <w:szCs w:val="18"/>
                <w:color w:val="auto"/>
                <w:w w:val="93"/>
              </w:rPr>
              <w:t>$437,307</w:t>
            </w:r>
          </w:p>
        </w:tc>
        <w:tc>
          <w:tcPr>
            <w:tcW w:w="0" w:type="dxa"/>
            <w:vAlign w:val="bottom"/>
          </w:tcPr>
          <w:p>
            <w:pPr>
              <w:spacing w:after="0"/>
              <w:rPr>
                <w:sz w:val="1"/>
                <w:szCs w:val="1"/>
                <w:color w:val="auto"/>
              </w:rPr>
            </w:pPr>
          </w:p>
        </w:tc>
      </w:tr>
      <w:tr>
        <w:trPr>
          <w:trHeight w:val="230"/>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former Chief Financial Officer</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$275,000</w:t>
            </w:r>
          </w:p>
        </w:tc>
        <w:tc>
          <w:tcPr>
            <w:tcW w:w="9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$25,000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11,670</w:t>
            </w:r>
          </w:p>
        </w:tc>
        <w:tc>
          <w:tcPr>
            <w:tcW w:w="94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3"/>
              </w:rPr>
              <w:t>$486,670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Revenue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760" w:hanging="424"/>
        <w:spacing w:after="0" w:line="258"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Mr. Shone served as our Chief Financial Officer from April 24, 2018 until March 15, 2021, when he transitioned to the position of Chief Administrative Officer.</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Reflects amounts paid pursuant to the Executive Stretch tier as described below.</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performance-based amounts earned in fiscal 2020 under the Definitive Healthcare 2020 Corporate Bonus Program.</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Payments to our NEOs included in the “All Other Compensation” column include the following:</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Short and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Long 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401(k)</w:t>
            </w: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Health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Disability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0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Matching</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Insurance</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9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Premiums</w:t>
            </w:r>
          </w:p>
        </w:tc>
        <w:tc>
          <w:tcPr>
            <w:tcW w:w="220" w:type="dxa"/>
            <w:vAlign w:val="bottom"/>
          </w:tcPr>
          <w:p>
            <w:pPr>
              <w:spacing w:after="0"/>
              <w:rPr>
                <w:sz w:val="15"/>
                <w:szCs w:val="15"/>
                <w:color w:val="auto"/>
              </w:rPr>
            </w:pPr>
          </w:p>
        </w:tc>
        <w:tc>
          <w:tcPr>
            <w:tcW w:w="8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Premiums</w:t>
            </w:r>
          </w:p>
        </w:tc>
        <w:tc>
          <w:tcPr>
            <w:tcW w:w="220" w:type="dxa"/>
            <w:vAlign w:val="bottom"/>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Contributions</w:t>
            </w:r>
          </w:p>
        </w:tc>
        <w:tc>
          <w:tcPr>
            <w:tcW w:w="10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Premiums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2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79"/>
              </w:rPr>
              <w:t>270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11,400</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$ 18,007</w:t>
            </w: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$29,677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Kevin Shone</w:t>
            </w:r>
          </w:p>
        </w:tc>
        <w:tc>
          <w:tcPr>
            <w:tcW w:w="2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846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270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11,400</w:t>
            </w: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$ 19,291</w:t>
            </w:r>
          </w:p>
        </w:tc>
        <w:tc>
          <w:tcPr>
            <w:tcW w:w="6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$31,807</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11,400</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$11,670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Discussion of the Summary Compensation Table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fiscal 2020, we primarily compensated our NEOs through a combination of base salary and annual cash incentive awards. Our NEOs are also entitled to certain other benefits, subject to their enrollment, including a 401(k) plan with matching contributions, medical, dental, vision, life, accidental death and dismemberment, short-term disability and long-term disability insurance.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Prior to the IPO, the vesting of a portion of these awards is tied to the achievement by Advent of certain specified investment multiples and a portion is subject to time-based vesting. After the IPO, the awards will be subject to time-based vesting, subject to the service provider’s continued service.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fiscal 2020 compensation program are described in more detail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Annual Cash Incentive Awards and Bonus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6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Mr. Krantz’s, base achievement, target achievement and stretch achievement target payments for fiscal 2020 were up to 68% of his base salary for achievement of any of base, target and stretch goals. Mr. Shone’s base, target and stretch achievement were set at $50,000, $75,000 and $100,000 respectively, and Mr. Mirisola’s the base, target and stretch achievement target were set at $75,000, $125,000 and $175,000 respectively.</w:t>
      </w:r>
    </w:p>
    <w:p>
      <w:pPr>
        <w:spacing w:after="0" w:line="14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Board also approved an incremental tier (“Executive Stretch”) of $25,000 pursuant to the 2020 Bonus Program for executive leaders, including our NEOs for above stretch achievement.</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Based on achievement of Cash Revenue Performance in fiscal 2020 of $136.607 million, our compensation committee approved the following payments to our NEOs: for Mr. Krantz, $285,770; for Mr. Shone, $100,000; 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Jason Krantz</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92"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4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Krantz Employment Agreement includes customary confidentiality provisions, as well as provisions relating to noncompetition, assignment of inventions, and non-solicitation of our employees.</w:t>
      </w:r>
    </w:p>
    <w:p>
      <w:pPr>
        <w:spacing w:after="0" w:line="170"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For purposes of the Krantz Employment Agreement, “Cause” means that the Mr. Krantz has: (i) breached any fiduciary duty or legal or material contractual obligation to us, which breach, if curable, is not cured within 15 days after written notice to the Executive thereof or, if cured, recurs;</w:t>
      </w:r>
    </w:p>
    <w:p>
      <w:pPr>
        <w:jc w:val="both"/>
        <w:ind w:left="120" w:hanging="4"/>
        <w:spacing w:after="0" w:line="271" w:lineRule="auto"/>
        <w:tabs>
          <w:tab w:leader="none" w:pos="38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7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ind w:left="120" w:right="220"/>
        <w:spacing w:after="0" w:line="260" w:lineRule="auto"/>
        <w:rPr>
          <w:sz w:val="20"/>
          <w:szCs w:val="20"/>
          <w:color w:val="auto"/>
        </w:rPr>
      </w:pPr>
      <w:r>
        <w:rPr>
          <w:rFonts w:ascii="Arial" w:cs="Arial" w:eastAsia="Arial" w:hAnsi="Arial"/>
          <w:sz w:val="18"/>
          <w:szCs w:val="18"/>
          <w:color w:val="auto"/>
        </w:rPr>
        <w:t>Mr. Krantz’s then-current base salary by twenty percent (20%) or more provided that any such reduction that applies to all management employees in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Kevin Shone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2" w:lineRule="exact"/>
        <w:rPr>
          <w:sz w:val="20"/>
          <w:szCs w:val="20"/>
          <w:color w:val="auto"/>
        </w:rPr>
      </w:pPr>
    </w:p>
    <w:p>
      <w:pPr>
        <w:jc w:val="both"/>
        <w:ind w:left="120" w:right="340"/>
        <w:spacing w:after="0" w:line="277" w:lineRule="auto"/>
        <w:rPr>
          <w:sz w:val="20"/>
          <w:szCs w:val="20"/>
          <w:color w:val="auto"/>
        </w:rPr>
      </w:pPr>
      <w:r>
        <w:rPr>
          <w:rFonts w:ascii="Arial" w:cs="Arial" w:eastAsia="Arial" w:hAnsi="Arial"/>
          <w:sz w:val="17"/>
          <w:szCs w:val="17"/>
          <w:color w:val="auto"/>
        </w:rPr>
        <w:t>Mr. Shone’s base salary for fiscal 2020. The Shone Employment Agreement also provides that Mr. Shone is eligible to receive an annual cash bonus based the Company achieving specific revenue targets which are determined on an annual basis for the following year by the Board. Pursuant to his employment agreement, Mr. Shone received Class B Units as described in the Class B Units section.</w:t>
      </w:r>
    </w:p>
    <w:p>
      <w:pPr>
        <w:spacing w:after="0" w:line="173"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we terminate Mr. Shone’s employment without Cause (other than as a result of death or disability), or Mr. Shone terminates his employment for Good Reason, then we must provide Mr. Shone with continuation of 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The Shone Employment Agreement includes confidentiality provisions, as well as provisions relating to noncompetition, assignment of inventions, and non-solicitation of our employees.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“Cause” under the Shone Employment Agreement has the same meaning as under the Krantz Employment Agreement.</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Joseph Mirisola</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Class B Units at Fiscal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with respect to outstanding unvested Class B Units held by our NEOs as of December 31, 2020.</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4"/>
                <w:szCs w:val="14"/>
                <w:b w:val="1"/>
                <w:bCs w:val="1"/>
                <w:color w:val="auto"/>
              </w:rPr>
              <w:t>Class B Units</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Class B Units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that have</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580" w:type="dxa"/>
            <w:vAlign w:val="bottom"/>
            <w:vMerge w:val="restart"/>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46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not vested</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20" w:type="dxa"/>
            <w:vAlign w:val="bottom"/>
            <w:gridSpan w:val="2"/>
          </w:tcPr>
          <w:p>
            <w:pPr>
              <w:jc w:val="center"/>
              <w:ind w:left="375"/>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78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9/18/2019(1)</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505,554.75</w:t>
            </w:r>
          </w:p>
        </w:tc>
        <w:tc>
          <w:tcPr>
            <w:tcW w:w="7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9/18/2019(2)</w:t>
            </w:r>
          </w:p>
        </w:tc>
        <w:tc>
          <w:tcPr>
            <w:tcW w:w="2100" w:type="dxa"/>
            <w:vAlign w:val="bottom"/>
            <w:gridSpan w:val="3"/>
          </w:tcPr>
          <w:p>
            <w:pPr>
              <w:jc w:val="right"/>
              <w:ind w:right="780"/>
              <w:spacing w:after="0"/>
              <w:rPr>
                <w:sz w:val="20"/>
                <w:szCs w:val="20"/>
                <w:color w:val="auto"/>
              </w:rPr>
            </w:pPr>
            <w:r>
              <w:rPr>
                <w:rFonts w:ascii="Arial" w:cs="Arial" w:eastAsia="Arial" w:hAnsi="Arial"/>
                <w:sz w:val="18"/>
                <w:szCs w:val="18"/>
                <w:color w:val="auto"/>
              </w:rPr>
              <w:t>674,073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Shone</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9/18/2019(1)</w:t>
            </w:r>
          </w:p>
        </w:tc>
        <w:tc>
          <w:tcPr>
            <w:tcW w:w="21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113,749.88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9/18/2019(2)</w:t>
            </w:r>
          </w:p>
        </w:tc>
        <w:tc>
          <w:tcPr>
            <w:tcW w:w="2100" w:type="dxa"/>
            <w:vAlign w:val="bottom"/>
            <w:gridSpan w:val="3"/>
          </w:tcPr>
          <w:p>
            <w:pPr>
              <w:jc w:val="right"/>
              <w:ind w:right="780"/>
              <w:spacing w:after="0"/>
              <w:rPr>
                <w:sz w:val="20"/>
                <w:szCs w:val="20"/>
                <w:color w:val="auto"/>
              </w:rPr>
            </w:pPr>
            <w:r>
              <w:rPr>
                <w:rFonts w:ascii="Arial" w:cs="Arial" w:eastAsia="Arial" w:hAnsi="Arial"/>
                <w:sz w:val="18"/>
                <w:szCs w:val="18"/>
                <w:color w:val="auto"/>
              </w:rPr>
              <w:t>151,666.5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9/18/2019(1)</w:t>
            </w:r>
          </w:p>
        </w:tc>
        <w:tc>
          <w:tcPr>
            <w:tcW w:w="21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113,749.88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9/18/2019(2)</w:t>
            </w:r>
          </w:p>
        </w:tc>
        <w:tc>
          <w:tcPr>
            <w:tcW w:w="2100" w:type="dxa"/>
            <w:vAlign w:val="bottom"/>
            <w:gridSpan w:val="3"/>
          </w:tcPr>
          <w:p>
            <w:pPr>
              <w:jc w:val="right"/>
              <w:ind w:right="780"/>
              <w:spacing w:after="0"/>
              <w:rPr>
                <w:sz w:val="20"/>
                <w:szCs w:val="20"/>
                <w:color w:val="auto"/>
              </w:rPr>
            </w:pPr>
            <w:r>
              <w:rPr>
                <w:rFonts w:ascii="Arial" w:cs="Arial" w:eastAsia="Arial" w:hAnsi="Arial"/>
                <w:sz w:val="18"/>
                <w:szCs w:val="18"/>
                <w:color w:val="auto"/>
              </w:rPr>
              <w:t>151,666.5</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340" w:hanging="424"/>
        <w:spacing w:after="0" w:line="271"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ind w:left="540" w:right="100" w:hanging="424"/>
        <w:spacing w:after="0" w:line="250" w:lineRule="auto"/>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unvested performance-based units will convert into units with time-based vesting upon the IPO.</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Units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will be reclassified into the Reclassified Management LLC Class B Units with corresponding Class B Units issued by AIDH TopCo, LLC</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reclassified into Reclassified Class B LLC Units and will remain subject to the vesting terms described below. In connection with the reorganization, Class B common stock will be issued to each holder of Reclassified Management LLC Class B Units (or in the case of Mr. Krantz, with respect to his Class B Units in AIDH TopCo, LLC) on a one-for-one basis to such holder’s Reclassified Management LLC Class B Units (or in the case of Mr. Krantz, on a one-for-one basis to his Reclassified Class B LLC Units), provided that such Class B common stock will not be entitled to any voting rights until such time as the Reclassified Management LLC Class B Units or Reclassified Class B LLC Units vest. Once vested, the holders of Reclassified Management LLC Class B Units will have the right, pursuant to the terms of the amended and restated limited liability company agreement of AIDH Management Holdings, LLC, to exchange their Reclassified Management LLC Class B Units for Reclassified Class B LLC Units and immediately thereafter Definitive OpCo shall redeem such Reclassified Class B LLC Units for, at our election, for either newly issued shares of Class A common stock on a one-for-one basis or a cash payment, pursuant to the terms of the Amended LLC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Unit Agreements with Messrs. Krantz, Shone and Mirisola</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6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Class B Unit agreements further provide that, subject to Messrs. Krantz, Shone and Mirisola’s continued service through consummation of the IPO, any performance-vesting Class B Units will be converted into an award of restricted common units. One-third of such common units vest on each of the first, second and third anniversaries of the IPO, subject to the service provider’s continued service through the applicable vesting date. Any unvested time-vesting units will continue to vest, subject to the service provider’s continued service, according to the normal vesting schedule (25% of the time-vesting Class B Units vest on each of the first four anniversaries of July 16, 2019) in connection with an IPO.</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jc w:val="both"/>
        <w:ind w:left="120" w:right="540" w:firstLine="440"/>
        <w:spacing w:after="0" w:line="286" w:lineRule="auto"/>
        <w:rPr>
          <w:sz w:val="20"/>
          <w:szCs w:val="20"/>
          <w:color w:val="auto"/>
        </w:rPr>
      </w:pPr>
      <w:r>
        <w:rPr>
          <w:rFonts w:ascii="Arial" w:cs="Arial" w:eastAsia="Arial" w:hAnsi="Arial"/>
          <w:sz w:val="17"/>
          <w:szCs w:val="17"/>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Class B Units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there’s a change in control after the IPO, all unvested reclassified units will vest as described in the Class B Units section. All references to “change in control” in this section refer to such term as it is defined in the 2019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Anticipated Changes to our Compensation Program Following this Offering</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connection with this offering, we plan to adopt incentive plans, under which we will be permitted to grant equity and cash-based incentive awards. In addition, we may make revisions to our compensation program. We expect that any revised compensation program will be effective prior to the effectiveness of the registration statement of which this prospectus forms a part.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Plan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connection with this offering, we intend to adopt a new equity incentive plan (the “2021 Incentive Plan”). The 2021 Incentive Plan is intended to provide flexibility to motivate, attract and retain the service providers who are expected to make significant contributions to our success and allow participants to share in such success.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Severance</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intend to adopt new executive severance agreements (the “Severance Agreements”) in 2021, the terms of which were approved by the Compensation Committee on April 28, 2021. Under the severance policy, in the event of a qualifying termination of employment absent a change in control, our eligible executives will be entitled to receive 12 months base salary, a pro-rata bonus for the year of termination, and 12 months of benefits.</w:t>
      </w:r>
    </w:p>
    <w:p>
      <w:pPr>
        <w:spacing w:after="0" w:line="14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the event an executive has a qualifying termination following a change in control, the Severance Agreements will provide for severance based on a multiple of salary and target bonus (1.5x for Mr. Krantz and 1.0x for other executives), a pro-rata target bonus for the year of termination, and continuation of benefits aligned with the severance multiple. In addition, the Severance Agreements will provide that outstanding equity will fully vest upon such qualifying termination. New employment agreements entered into with the executives pursuant to the severance policy will contain a “best net benefit” provision, meaning that if an excise tax under Sections 4999 of the Internal Revenue Code of 1986, as amended, would be assessed on the payments and/or benefits received by an executive, such payments and benefits would be reduced to avoid such excise tax unless payment in full would result in a greater net after-tax benefit to the executive.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director who is an employee receives no additional compensation for services as a director or as a member of a committee of our Board. Our only director who received compensation in fiscal 2020 was Mr. Al Hamood, who joined the Board in September 2020. Mr. Hamood earned $17,500 for his service on the Board and as Chair of the Audit Committee in 2020, which was paid in January 2021. Mr. Hamood also received a grant of 34,037 Class B Units on April 28, 2021 in consideration for his joining the Board. In connection with this offering, we expect that our Compensation Committee and Board will establish a non-employee director compensation program.</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86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5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240" w:type="dxa"/>
            <w:vAlign w:val="bottom"/>
          </w:tcPr>
          <w:p>
            <w:pPr>
              <w:ind w:left="3000"/>
              <w:spacing w:after="0"/>
              <w:rPr>
                <w:sz w:val="20"/>
                <w:szCs w:val="20"/>
                <w:color w:val="auto"/>
              </w:rPr>
            </w:pPr>
            <w:r>
              <w:rPr>
                <w:rFonts w:ascii="Arial" w:cs="Arial" w:eastAsia="Arial" w:hAnsi="Arial"/>
                <w:sz w:val="18"/>
                <w:szCs w:val="18"/>
                <w:b w:val="1"/>
                <w:bCs w:val="1"/>
                <w:color w:val="auto"/>
              </w:rPr>
              <w:t>PRINCIPAL STOCKHOLDERS</w:t>
            </w:r>
          </w:p>
        </w:tc>
        <w:tc>
          <w:tcPr>
            <w:tcW w:w="2520" w:type="dxa"/>
            <w:vAlign w:val="bottom"/>
          </w:tcPr>
          <w:p>
            <w:pPr>
              <w:spacing w:after="0"/>
              <w:rPr>
                <w:sz w:val="24"/>
                <w:szCs w:val="24"/>
                <w:color w:val="auto"/>
              </w:rPr>
            </w:pPr>
          </w:p>
        </w:tc>
      </w:tr>
      <w:tr>
        <w:trPr>
          <w:trHeight w:val="432"/>
        </w:trPr>
        <w:tc>
          <w:tcPr>
            <w:tcW w:w="8600" w:type="dxa"/>
            <w:vAlign w:val="bottom"/>
            <w:gridSpan w:val="2"/>
          </w:tcPr>
          <w:p>
            <w:pPr>
              <w:ind w:left="560"/>
              <w:spacing w:after="0"/>
              <w:rPr>
                <w:sz w:val="20"/>
                <w:szCs w:val="20"/>
                <w:color w:val="auto"/>
              </w:rPr>
            </w:pPr>
            <w:r>
              <w:rPr>
                <w:rFonts w:ascii="Arial" w:cs="Arial" w:eastAsia="Arial" w:hAnsi="Arial"/>
                <w:sz w:val="18"/>
                <w:szCs w:val="18"/>
                <w:color w:val="auto"/>
                <w:w w:val="97"/>
              </w:rPr>
              <w:t>The following table sets forth information regarding the beneficial ownership of our common stock as of</w:t>
            </w:r>
          </w:p>
        </w:tc>
        <w:tc>
          <w:tcPr>
            <w:tcW w:w="2520" w:type="dxa"/>
            <w:vAlign w:val="bottom"/>
          </w:tcPr>
          <w:p>
            <w:pPr>
              <w:ind w:left="480"/>
              <w:spacing w:after="0"/>
              <w:rPr>
                <w:sz w:val="20"/>
                <w:szCs w:val="20"/>
                <w:color w:val="auto"/>
              </w:rPr>
            </w:pPr>
            <w:r>
              <w:rPr>
                <w:rFonts w:ascii="Arial" w:cs="Arial" w:eastAsia="Arial" w:hAnsi="Arial"/>
                <w:sz w:val="18"/>
                <w:szCs w:val="18"/>
                <w:color w:val="auto"/>
                <w:w w:val="89"/>
              </w:rPr>
              <w:t>, 2021 (i) as adjusted to give</w:t>
            </w:r>
          </w:p>
        </w:tc>
      </w:tr>
    </w:tbl>
    <w:p>
      <w:pPr>
        <w:ind w:left="12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to the Reorganization Transactions, but prior to this offering, and (ii) as adjusted to give effect to the Reorganization Transactions and this offering as described in “Use of Proceeds” by:</w:t>
      </w:r>
    </w:p>
    <w:p>
      <w:pPr>
        <w:spacing w:after="0" w:line="91"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person or group whom we know to own beneficially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the directors and named executive officers individually;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after giving effect to the Reorganization Transactions. See “Organizational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immediately after this offering.</w:t>
      </w:r>
    </w:p>
    <w:p>
      <w:pPr>
        <w:spacing w:after="0" w:line="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connection with this offering, we will issue to each Continuing Pre-IPO LLC Member one share of Class B common stock for each LLC Unit such Continuing Pre-IPO LLC Member beneficially owns immediately prior to the consummation of this offering, The number of shares of Class A common stock listed in the table below represents the Class A common stock that will be issued in connection with this offering and the shares of Class A common stock that were issued to the Reorganization Parties in connection with the Mergers.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accordance with the rules of the SEC, beneficial ownership includes voting or investment power with respect to securities and includes the</w:t>
      </w:r>
    </w:p>
    <w:p>
      <w:pPr>
        <w:spacing w:after="0" w:line="46"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shares issuable pursuant to stock options that are exercisable within 60 days of , 2021. The number of shares of Class A common stock outstanding after this offering includes shares of common stock being offered for sale by us in this offering and the shares of Class A common stock that were issued to the Reorganization Parties in connection with the Mergers.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45"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Class A common stock Beneficially Owned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Class B Common Stock Beneficially Owned</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Shares of Class A</w:t>
            </w:r>
          </w:p>
        </w:tc>
        <w:tc>
          <w:tcPr>
            <w:tcW w:w="14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Shares of Class A</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Shares of Class B</w:t>
            </w:r>
          </w:p>
        </w:tc>
        <w:tc>
          <w:tcPr>
            <w:tcW w:w="14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Shares of Class B</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 of Class A</w:t>
            </w:r>
          </w:p>
        </w:tc>
        <w:tc>
          <w:tcPr>
            <w:tcW w:w="1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of Class B</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(assuming no exercise</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(assuming full exercise</w:t>
            </w:r>
          </w:p>
        </w:tc>
        <w:tc>
          <w:tcPr>
            <w:tcW w:w="1540" w:type="dxa"/>
            <w:vAlign w:val="bottom"/>
            <w:gridSpan w:val="3"/>
            <w:vMerge w:val="continue"/>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(assuming no exercise</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(assuming full exercise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the option</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the option</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of the option</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of the option</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owned before</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purchase</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to purchase</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beneficially owned</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to purchase</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 purchase</w:t>
            </w:r>
          </w:p>
        </w:tc>
        <w:tc>
          <w:tcPr>
            <w:tcW w:w="0" w:type="dxa"/>
            <w:vAlign w:val="bottom"/>
          </w:tcPr>
          <w:p>
            <w:pPr>
              <w:spacing w:after="0"/>
              <w:rPr>
                <w:sz w:val="1"/>
                <w:szCs w:val="1"/>
                <w:color w:val="auto"/>
              </w:rPr>
            </w:pPr>
          </w:p>
        </w:tc>
      </w:tr>
      <w:tr>
        <w:trPr>
          <w:trHeight w:val="171"/>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beneficial</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this offering</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additional shares)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additional shares)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before this offering</w:t>
            </w: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additional shares)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additional shares)</w:t>
            </w:r>
          </w:p>
        </w:tc>
        <w:tc>
          <w:tcPr>
            <w:tcW w:w="0" w:type="dxa"/>
            <w:vAlign w:val="bottom"/>
          </w:tcPr>
          <w:p>
            <w:pPr>
              <w:spacing w:after="0"/>
              <w:rPr>
                <w:sz w:val="1"/>
                <w:szCs w:val="1"/>
                <w:color w:val="auto"/>
              </w:rPr>
            </w:pPr>
          </w:p>
        </w:tc>
      </w:tr>
      <w:tr>
        <w:trPr>
          <w:trHeight w:val="115"/>
        </w:trPr>
        <w:tc>
          <w:tcPr>
            <w:tcW w:w="1960" w:type="dxa"/>
            <w:vAlign w:val="bottom"/>
            <w:gridSpan w:val="2"/>
            <w:vMerge w:val="continue"/>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4"/>
              </w:rPr>
              <w:t>Percentage</w:t>
            </w:r>
          </w:p>
        </w:tc>
        <w:tc>
          <w:tcPr>
            <w:tcW w:w="8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w:t>
            </w: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of 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of 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712724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5% stock-holders: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Funds managed by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Advent International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Affiliates of Advent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Affiliates of Spectrum</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Jason Krantz</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DH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2724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AIDH Management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Holdings,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Affiliates of 22C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274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2724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Named executive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officers and directors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Richard Booth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Joseph Mirisola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Kate Shamsuddin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Chris Mitchell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 Haywood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Lauren Young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Chris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John Maldonado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Al Hamood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Jill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Robert Musslewhite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directors and</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as 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(14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beneficial ownership of less than 1%.</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00"/>
          </w:cols>
          <w:pgMar w:left="32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Agreement</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connection with the Reorganization Transactions, we will enter into a reorganization agreement and related agreements with Definitive OpCo and each of the Pre-IPO LLC Members, which will effect the Reorganization Transactions.</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table below sets forth the consideration in LLC Units and Class B common stock to be received by our directors, officers and 5% equity holders in the Reorganization Transactions: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274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Affiliates of Advent and certain other minority equity</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holders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Affiliates of 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Jason Krantz</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DH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AIDH Management Holdings,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Affiliates of 22C Capital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800"/>
        <w:spacing w:after="0"/>
        <w:rPr>
          <w:sz w:val="20"/>
          <w:szCs w:val="20"/>
          <w:color w:val="auto"/>
        </w:rPr>
      </w:pPr>
      <w:r>
        <w:rPr>
          <w:rFonts w:ascii="Arial" w:cs="Arial" w:eastAsia="Arial" w:hAnsi="Arial"/>
          <w:sz w:val="12"/>
          <w:szCs w:val="12"/>
          <w:b w:val="1"/>
          <w:bCs w:val="1"/>
          <w:color w:val="auto"/>
        </w:rPr>
        <w:t>Class B Common Stock</w:t>
      </w:r>
    </w:p>
    <w:p>
      <w:pPr>
        <w:spacing w:after="0" w:line="14"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and LLC Units to Be</w:t>
      </w:r>
    </w:p>
    <w:p>
      <w:pPr>
        <w:jc w:val="center"/>
        <w:ind w:right="1800"/>
        <w:spacing w:after="0" w:line="221" w:lineRule="auto"/>
        <w:rPr>
          <w:sz w:val="20"/>
          <w:szCs w:val="20"/>
          <w:color w:val="auto"/>
        </w:rPr>
      </w:pPr>
      <w:r>
        <w:rPr>
          <w:rFonts w:ascii="Arial" w:cs="Arial" w:eastAsia="Arial" w:hAnsi="Arial"/>
          <w:sz w:val="14"/>
          <w:szCs w:val="14"/>
          <w:b w:val="1"/>
          <w:bCs w:val="1"/>
          <w:color w:val="auto"/>
        </w:rPr>
        <w:t>Issued in the</w:t>
      </w:r>
    </w:p>
    <w:p>
      <w:pPr>
        <w:jc w:val="center"/>
        <w:ind w:right="1800"/>
        <w:spacing w:after="0" w:line="221" w:lineRule="auto"/>
        <w:rPr>
          <w:sz w:val="20"/>
          <w:szCs w:val="20"/>
          <w:color w:val="auto"/>
        </w:rPr>
      </w:pPr>
      <w:r>
        <w:rPr>
          <w:rFonts w:ascii="Arial" w:cs="Arial" w:eastAsia="Arial" w:hAnsi="Arial"/>
          <w:sz w:val="14"/>
          <w:szCs w:val="14"/>
          <w:b w:val="1"/>
          <w:bCs w:val="1"/>
          <w:color w:val="auto"/>
        </w:rPr>
        <w:t>Reorganization</w:t>
      </w:r>
    </w:p>
    <w:p>
      <w:pPr>
        <w:spacing w:after="0" w:line="1"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9169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b w:val="1"/>
          <w:bCs w:val="1"/>
          <w:color w:val="auto"/>
        </w:rPr>
        <w:t>Number</w:t>
      </w:r>
    </w:p>
    <w:p>
      <w:pPr>
        <w:spacing w:after="0" w:line="1697" w:lineRule="exact"/>
        <w:rPr>
          <w:sz w:val="20"/>
          <w:szCs w:val="20"/>
          <w:color w:val="auto"/>
        </w:rPr>
      </w:pPr>
    </w:p>
    <w:p>
      <w:pPr>
        <w:sectPr>
          <w:pgSz w:w="11900" w:h="16838" w:orient="portrait"/>
          <w:cols w:equalWidth="0" w:num="2">
            <w:col w:w="7160" w:space="720"/>
            <w:col w:w="3240"/>
          </w:cols>
          <w:pgMar w:left="320" w:top="459" w:right="459" w:bottom="1440" w:gutter="0" w:footer="0" w:header="0"/>
          <w:type w:val="continuous"/>
        </w:sectPr>
      </w:pPr>
    </w:p>
    <w:p>
      <w:pPr>
        <w:spacing w:after="0" w:line="1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consideration set forth above and otherwise to be received in the Reorganization Transactions is subject to adjustment based on the final public offering price of our Class A common stock in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Definitive OpCo Agreement</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connection with the Reorganization Transactions, Definitive Healthcare Corp., Definitive OpCo and each of the Continuing Pre-IPO LLC Members will enter into the Amended LLC Agreement. Following the Reorganization Transactions, and in accordance with the terms of the Amended LLC Agreement, we will operate our business through Definitive OpCo. Pursuant to the terms of the Amended LLC Agreement, so long as the Continuing Pre-IPO LLC Members continue to own any LLC Units or securities redeemable or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the sole managing member of Definitive OpCo, we will have control over all of the affairs and decision making of Definitive OpCo. As such, through our officers and directors, we will be responsible for all operational and administrative decisions of Definitive OpCo and the day-to-day management of Definitive OpCo’s business. We will fund any dividends to our stockholders by causing Definitive OpCo to make distributions to the holders of LLC Units and us, subject to the limitations imposed by our debt agreements. See “Dividend Policy.”</w:t>
      </w:r>
    </w:p>
    <w:p>
      <w:pPr>
        <w:spacing w:after="0" w:line="17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holders of LLC Units will generally incur U.S. federal, state and local income taxes on their proportionate share of any taxable income of Definitive OpCo. Net profits and net losses of Definitive OpCo will generally be allocated to its members pro rata in accordance with the percentages of their respective ownership of LLC Units. The Amended LLC Agreement will provide for pro rata cash distributions to the holders of LLC Units for purposes of funding their tax obligations in respect of the taxable income of Definitive OpCo that is allocated to them. Generally, these tax distributions will be computed based on Definitive OpCo’s estimate of the taxable income of Definitive OpCo allocable to each holder of LLC Units multiplied by an assumed tax rate equal to the highest effective marginal combined U.S. federal, state and local income tax rate prescribed for an individual or corporate</w:t>
      </w:r>
    </w:p>
    <w:p>
      <w:pPr>
        <w:spacing w:after="0" w:line="4" w:lineRule="exact"/>
        <w:rPr>
          <w:sz w:val="20"/>
          <w:szCs w:val="20"/>
          <w:color w:val="auto"/>
        </w:rPr>
      </w:pPr>
    </w:p>
    <w:p>
      <w:pPr>
        <w:ind w:left="120" w:right="500"/>
        <w:spacing w:after="0" w:line="273" w:lineRule="auto"/>
        <w:rPr>
          <w:sz w:val="20"/>
          <w:szCs w:val="20"/>
          <w:color w:val="auto"/>
        </w:rPr>
      </w:pPr>
      <w:r>
        <w:rPr>
          <w:rFonts w:ascii="Arial" w:cs="Arial" w:eastAsia="Arial" w:hAnsi="Arial"/>
          <w:sz w:val="17"/>
          <w:szCs w:val="17"/>
          <w:color w:val="auto"/>
        </w:rPr>
        <w:t>resident of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Agreements.</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(upon an election by us to exchange such LLC Unit in lieu of redemption following a redemption request by such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Continuing Pre-IPO LLC Members or any other person, we will issue an equal number of shares of our Class B common stock to such Continuing Pre-IPO LLC Members or any other person. Conversely, if at any time any shares of our Class A common stock are redeemed, purchased or otherwise acquired by us, Definitive OpCo will redeem, purchase or otherwise acquire an equal number of LLC Units held by us, upon the same terms and for the same price per security, as the shares of our Class A common stock are redeemed, purchased or otherwise acquired. In addition,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8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Under the Amended LLC Agreement, the holders of LLC Units (other than us) will have the right, from and after the completion of this offering (subject to the terms of the Amended LLC Agreement), to require Definitive OpCo to redeem all or a portion of their LLC Units for, at our election, newly-issued shares of Class A common stock on a one-for-one basis or a cash payment equal to the volume weighted average market price of one share of our Class A common stock for each LLC Unit redeemed (subject to customary adjustments, including for stock splits, stock dividends and reclassifications). If we decide to make a cash payment, the holder of an LLC Unit has the option to rescind its redemption request within a specified time period. Upon the exercise of the redemption right, the redeeming member will surrender its LLC Units to Definitive OpCo for cancellation. The Amended LLC Agreement requires that we contribute cash or shares of our Class A common stock to Definitive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OpCo in exchange for an amount of newly-issued LLC Units in Definitive OpCo equal to the number of LLC Units redeemed from the holders of LLC Units. Definitive OpCo will then distribute the cash or shares of our Class A common stock to such holder of an LLC Unit to complete the redemption. In the event of a redemption request by a holder of an LLC Unit, we may, at our option, effect a direct exchange of cash or Class A common stock for LLC Units in lieu of such a redemption. Whether by redemption or exchange,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 redemption request of a holder of an LLC Unit, redeem or exchange LLC Units of such holder of an LLC Unit pursuant to the terms of the Amended LLC Agreement. The holders of vested Reclassified Management LLC Class B Units will have the right, pursuant to the terms of the amended and restated limited liability company agreement of AIDH Management Holdings, LLC, to exchange their Reclassified Management LLC Class B Units for Reclassified Class B LLC Units and immediately thereafter Definitive OpCo shall redeem such Reclassified Class B LLC Units for, at our election, either newly issued shares of Class A common stock on a one-for-one basis or a cash payment, pursuant to the terms of the Amended LLC Agreement.</w:t>
      </w:r>
    </w:p>
    <w:p>
      <w:pPr>
        <w:spacing w:after="0" w:line="17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Amended LLC Agreement will provide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redemption or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redeem or exchange LLC Units.</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Amended LLC Agreement will provide that, except for transfers to us as provided above or to certain permitted transferees, the LLC Units and shares of Class B common stock may not be sold, transferred or otherwise disposed of.</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84"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As described under “Organizational Structure,” we will acquire certain favorable tax attributes from the Blocker Companies in the Mergers. In addition, future redemptions or exchanges by Continuing Pre-IPO LLC Members of LLC Units for shares of our Class A common stock or cash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Upon the completion of this offering, we will be a party to one or more Tax Receivable Agreements with the TRA Parties. Under the Tax Receivable Agreements,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 (iii) certain payments made under the Tax Receivable Agreements. Definitive OpCo intends to have in effect an election under Section 754 of the Internal Revenue Code of 1986, as amended, effective for each taxable year in which a redemption or exchange (including deemed exchange) of LLC Units for Class A common stock or cash occurs. The payment obligations under the Tax Receivable Agreements are our obligations and not the obligations of Definitive OpCo.</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that the payments we will be required to make under the Tax Receivable Agreements will be substantial. The tax attributes available to</w:t>
      </w:r>
    </w:p>
    <w:p>
      <w:pPr>
        <w:spacing w:after="0" w:line="46"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color w:val="auto"/>
        </w:rPr>
        <w:t>us as a result of the Mergers are expected to result in tax savings of approximately $ . We would be required to pay the TRA Parties approximately 85% of such amount, or $ , over the 15-year period from the date of the completion of this offering. Further, assuming no material</w:t>
      </w:r>
    </w:p>
    <w:p>
      <w:pPr>
        <w:ind w:left="120"/>
        <w:spacing w:after="0"/>
        <w:rPr>
          <w:sz w:val="20"/>
          <w:szCs w:val="20"/>
          <w:color w:val="auto"/>
        </w:rPr>
      </w:pPr>
      <w:r>
        <w:rPr>
          <w:rFonts w:ascii="Arial" w:cs="Arial" w:eastAsia="Arial" w:hAnsi="Arial"/>
          <w:sz w:val="16"/>
          <w:szCs w:val="16"/>
          <w:color w:val="auto"/>
        </w:rPr>
        <w:t>changes in relevant tax law and that we earn sufficient taxable income to realize all tax benefits that are subject to the Tax Receivable Agreements, we</w:t>
      </w:r>
    </w:p>
    <w:p>
      <w:pPr>
        <w:spacing w:after="0" w:line="386" w:lineRule="exact"/>
        <w:rPr>
          <w:sz w:val="20"/>
          <w:szCs w:val="20"/>
          <w:color w:val="auto"/>
        </w:rPr>
      </w:pPr>
    </w:p>
    <w:p>
      <w:pPr>
        <w:ind w:left="120" w:right="140"/>
        <w:spacing w:after="0" w:line="274" w:lineRule="auto"/>
        <w:rPr>
          <w:sz w:val="20"/>
          <w:szCs w:val="20"/>
          <w:color w:val="auto"/>
        </w:rPr>
      </w:pPr>
      <w:r>
        <w:rPr>
          <w:rFonts w:ascii="Arial" w:cs="Arial" w:eastAsia="Arial" w:hAnsi="Arial"/>
          <w:sz w:val="17"/>
          <w:szCs w:val="17"/>
          <w:color w:val="auto"/>
        </w:rPr>
        <w:t>expect that the tax savings associated with all tax attributes described above would aggregate to approximately $ over 15 years from the date of the completion of this offering, based on an assumed initial public offering price of $ per share of Class A common stock, the midpoint of the</w:t>
      </w:r>
    </w:p>
    <w:p>
      <w:pPr>
        <w:ind w:left="120"/>
        <w:spacing w:after="0"/>
        <w:rPr>
          <w:sz w:val="20"/>
          <w:szCs w:val="20"/>
          <w:color w:val="auto"/>
        </w:rPr>
      </w:pPr>
      <w:r>
        <w:rPr>
          <w:rFonts w:ascii="Arial" w:cs="Arial" w:eastAsia="Arial" w:hAnsi="Arial"/>
          <w:sz w:val="16"/>
          <w:szCs w:val="16"/>
          <w:color w:val="auto"/>
        </w:rPr>
        <w:t>estimated price range set forth on the cover page of this prospectus and assuming all future redemptions or exchanges would occur on the date of this</w:t>
      </w:r>
    </w:p>
    <w:p>
      <w:pPr>
        <w:spacing w:after="0" w:line="32"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color w:val="auto"/>
        </w:rPr>
        <w:t>offering. Under this scenario, we would be required to pay the TRA Parties approximately 85% of such amount, or $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Agreements payments made by us, will be calculated based in part on the market value of our Class A common stock at the time of each redemption or exchange of an LLC Unit for cash or a share of Class A common stock and the prevailing applicable federal tax rate (plus the assumed combined state and local tax rate) applicable to us over the life of the Tax Receivable Agreements and will depend on our generating sufficient taxable income to realize the tax benefits that are subject to the Tax Receivable Agreements. Payments under the Tax Receivable Agreements are not conditioned on our existing owners’ continued ownership of us after this offering.</w:t>
      </w:r>
    </w:p>
    <w:p>
      <w:pPr>
        <w:spacing w:after="0" w:line="19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Payments under the Tax Receivable Agreements will be based on the tax reporting positions we determine, and the IRS or another taxing authority may challenge all or a part of the deductions, tax basis increases, net operating losses or other tax attributes subject to the Tax Receivable Agreements, and a court could sustain such challenge. Payments we will be required to make under the Tax Receivable Agreements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disallowed, except that any excess payments made to a TRA Party will be netted against future payments otherwise to be made to such TRA Party under the Tax Receivable Agreements, if any, after our determination of such excess. In addition, the actual state or local tax savings we may realize may be different than the amount of such tax savings we are deemed to realize under the Tax Receivable Agreements, which will be based on an assumed combined state and local tax rate applied to our reduction in taxable income as determined for U.S. federal income tax purposes as a result of the tax attributes subject to the Tax Receivable Agreements. In both such circumstances, we could make payments to the TRA Parties that are greater than our actual cash tax savings and we may not be able to recoup those payments, which could negatively impact our liquidity. The Tax Receivable Agreements provide that (1) in the event that we breach any of our material obligations under the Tax Receivable Agreements, (2) upon certain changes of control or (3) if, at any time, we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elect an early termination of the Tax Receivable Agreements, our obligations under the Tax Receivable Agreements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Agreements. The change of control provisions in the Tax Receivable Agreements may result in situations where the TRA Parties have interests that differ from or are in addition to those of our other stockholders.</w:t>
      </w:r>
    </w:p>
    <w:p>
      <w:pPr>
        <w:spacing w:after="0" w:line="19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Agreements depends on the ability of Definitive OpCo to make distributions to us. To the extent that we are unable to make payments under the Tax Receivable Agreements for any reason, such payments will be deferred and will accrue interest until paid; provided, however, that nonpayment for a specified period may constitute a breach of a material obligation under the Tax Receivable Agreements and therefore accelerate payments due under the Tax Receivable Agreements, which could negatively impact our results of operations and could also affect our liquidity in periods in which such payments are made.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Prior to the consummation of this offering, we will enter into a registration rights agreement with certain of the Pre-IPO LLC Members and affiliates of Advent, affiliates of Spectrum Equity, Jason Krantz, DH Holdings, AIDH Management Holdings, LLC and affiliates of 22C Capital.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 Policies and Procedures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Upon the completion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Policy will require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Credit Facilities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July 16, 2019 , DH Holdings (as the “Borrower”) entered into a credit agreement (the “Credit Agreement”) among the Borrower, AIDH Buyer, LLC (“AIDH Buyer”), Administrative Agent, and the lenders and issuing banks from time to time party thereto (the “Lenders”), pursuant to which the Lenders agreed to provide senior secured credit facilities, consisting of (i) an initial term loan facility in an original principal amount equal to</w:t>
      </w:r>
    </w:p>
    <w:p>
      <w:pPr>
        <w:spacing w:after="0" w:line="2"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$450.0 million (the “Initial Term Loan Facility” and the loans thereunder, the “Initial Term Loans”), (ii) a revolving credit facility in an original principal amount equal to $25.0 million (the “Revolving Credit Facility” and the loans thereunder, the “Initial Revolving Loans”), including a letter of credit facility with a $5.0 million sublimit and (iii) an initial delayed draw term facility in an original committed amount equal to $100.0 million (the “Initial Delayed Draw Term Facility” and the loans thereunder, the “Initial Delayed Draw Term Loans”, the Initial Draw Term Facility together with the Initial Term Loan Facility, collectively, the “Term Loan Facility” and the Initial Delayed Draw Term Loans together with the Initial Term Loans, the “Term Loans;” the Term Loan Facility, together with the Revolving Credit Facility, collectively, the “Senior Credit Facilities”).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Borrowings under the Senior Credit Facilities bear interest, at the Borrower’s option, at a rate per annum equal to either (a) LIBO Rate (as defined in the 2019 Loan Agreement) plus the applicable LIBO Rate spread or (b) Alternate Base Rate (as defined in the 2019 Loan Agreement) plus the applicable ABR spread.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applicable LIBO Rate and ABR spreads are calculated based upon the total leverage ratio of the Borrower and its restricted subsidiaries on a consolidated basis, as set forth below.</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2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ABR Spread</w:t>
            </w:r>
          </w:p>
        </w:tc>
        <w:tc>
          <w:tcPr>
            <w:tcW w:w="204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w w:val="95"/>
              </w:rPr>
              <w:t>LIBO Rate Spread</w:t>
            </w:r>
          </w:p>
        </w:tc>
        <w:tc>
          <w:tcPr>
            <w:tcW w:w="19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5"/>
              </w:rPr>
              <w:t>ABR Spread for</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LIBO Rate</w:t>
            </w:r>
          </w:p>
        </w:tc>
        <w:tc>
          <w:tcPr>
            <w:tcW w:w="0" w:type="dxa"/>
            <w:vAlign w:val="bottom"/>
          </w:tcPr>
          <w:p>
            <w:pPr>
              <w:spacing w:after="0"/>
              <w:rPr>
                <w:sz w:val="1"/>
                <w:szCs w:val="1"/>
                <w:color w:val="auto"/>
              </w:rPr>
            </w:pPr>
          </w:p>
        </w:tc>
      </w:tr>
      <w:tr>
        <w:trPr>
          <w:trHeight w:val="149"/>
        </w:trPr>
        <w:tc>
          <w:tcPr>
            <w:tcW w:w="3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Leverage Ratio</w:t>
            </w:r>
          </w:p>
        </w:tc>
        <w:tc>
          <w:tcPr>
            <w:tcW w:w="182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4"/>
              </w:rPr>
              <w:t>Initial Revolving</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Spread for Initial</w:t>
            </w:r>
          </w:p>
        </w:tc>
        <w:tc>
          <w:tcPr>
            <w:tcW w:w="0" w:type="dxa"/>
            <w:vAlign w:val="bottom"/>
          </w:tcPr>
          <w:p>
            <w:pPr>
              <w:spacing w:after="0"/>
              <w:rPr>
                <w:sz w:val="1"/>
                <w:szCs w:val="1"/>
                <w:color w:val="auto"/>
              </w:rPr>
            </w:pPr>
          </w:p>
        </w:tc>
      </w:tr>
      <w:tr>
        <w:trPr>
          <w:trHeight w:val="178"/>
        </w:trPr>
        <w:tc>
          <w:tcPr>
            <w:tcW w:w="3100" w:type="dxa"/>
            <w:vAlign w:val="bottom"/>
            <w:gridSpan w:val="4"/>
            <w:vMerge w:val="continue"/>
          </w:tcPr>
          <w:p>
            <w:pPr>
              <w:spacing w:after="0"/>
              <w:rPr>
                <w:sz w:val="15"/>
                <w:szCs w:val="15"/>
                <w:color w:val="auto"/>
              </w:rPr>
            </w:pPr>
          </w:p>
        </w:tc>
        <w:tc>
          <w:tcPr>
            <w:tcW w:w="182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w w:val="92"/>
              </w:rPr>
              <w:t>for Term Loans</w:t>
            </w:r>
          </w:p>
        </w:tc>
        <w:tc>
          <w:tcPr>
            <w:tcW w:w="204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rPr>
              <w:t>for Term Loans</w:t>
            </w:r>
          </w:p>
        </w:tc>
        <w:tc>
          <w:tcPr>
            <w:tcW w:w="1900" w:type="dxa"/>
            <w:vAlign w:val="bottom"/>
            <w:gridSpan w:val="2"/>
          </w:tcPr>
          <w:p>
            <w:pPr>
              <w:jc w:val="center"/>
              <w:ind w:right="880"/>
              <w:spacing w:after="0" w:line="158" w:lineRule="exact"/>
              <w:rPr>
                <w:sz w:val="20"/>
                <w:szCs w:val="20"/>
                <w:color w:val="auto"/>
              </w:rPr>
            </w:pPr>
            <w:r>
              <w:rPr>
                <w:rFonts w:ascii="Arial" w:cs="Arial" w:eastAsia="Arial" w:hAnsi="Arial"/>
                <w:sz w:val="14"/>
                <w:szCs w:val="14"/>
                <w:b w:val="1"/>
                <w:bCs w:val="1"/>
                <w:color w:val="auto"/>
                <w:w w:val="92"/>
              </w:rPr>
              <w:t>Loans</w:t>
            </w: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Revolving Loans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color w:val="auto"/>
                <w:w w:val="91"/>
              </w:rPr>
              <w:t>Category 1</w:t>
            </w: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8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Greater than 6.50 to 1.00</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4.50%</w:t>
            </w: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5.50%</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4.50%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Category 2</w:t>
            </w:r>
          </w:p>
        </w:tc>
        <w:tc>
          <w:tcPr>
            <w:tcW w:w="230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3"/>
          </w:tcPr>
          <w:p>
            <w:pPr>
              <w:spacing w:after="0" w:line="201" w:lineRule="exact"/>
              <w:rPr>
                <w:sz w:val="20"/>
                <w:szCs w:val="20"/>
                <w:color w:val="auto"/>
              </w:rPr>
            </w:pPr>
            <w:r>
              <w:rPr>
                <w:rFonts w:ascii="Arial" w:cs="Arial" w:eastAsia="Arial" w:hAnsi="Arial"/>
                <w:sz w:val="18"/>
                <w:szCs w:val="18"/>
                <w:color w:val="auto"/>
              </w:rPr>
              <w:t>Less than or equal to 6.50 to</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jc w:val="right"/>
              <w:ind w:right="211"/>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4.25%</w:t>
            </w: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5.25%</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4.25%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Following the consummation of an initial public offering of the common equity of the Borrower or any parent company, the pricing of the Term Loans shall be further reduced by 0.25% at each level of the grid set forth above.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fees are required to be paid under the Senior Credit Facilities:</w:t>
      </w:r>
    </w:p>
    <w:p>
      <w:pPr>
        <w:spacing w:after="0" w:line="131" w:lineRule="exact"/>
        <w:rPr>
          <w:sz w:val="20"/>
          <w:szCs w:val="20"/>
          <w:color w:val="auto"/>
        </w:rPr>
      </w:pPr>
    </w:p>
    <w:p>
      <w:pPr>
        <w:ind w:left="1080" w:right="14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commitment fee to each revolving lender payable quarterly in arrears at a rate equal to 0.50% per annum on the unused revolving credit commitment;</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commitment fee to each delayed draw term lender payable quarterly in arrears at a rate equal to 1.00% per annum on the unused delayed draw term loan commitment;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annual administrative agency fee payable to the Administrative Agent;</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75" w:lineRule="exact"/>
        <w:rPr>
          <w:rFonts w:ascii="Arial" w:cs="Arial" w:eastAsia="Arial" w:hAnsi="Arial"/>
          <w:sz w:val="18"/>
          <w:szCs w:val="18"/>
          <w:color w:val="auto"/>
        </w:rPr>
      </w:pPr>
    </w:p>
    <w:p>
      <w:pPr>
        <w:jc w:val="both"/>
        <w:ind w:left="1080" w:right="100" w:hanging="532"/>
        <w:spacing w:after="0" w:line="311"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Subject to certain notice requirements, the Borrower may voluntarily prepay outstanding loans under the Senior Credit Facilities in whole or in part without premium or penalty other than customary “breakage” costs with respect to LIBO Rate loans.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Mandatory Prepayments; Final Maturity</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Initial Term Loans amortize at an annual rate equal to approximately 1.00% per annum, payable in equal quarterly installments of approximately 0.25% of the original principal amount of the Initial Term Loans. The Initial Delayed Draw Term Loans amortize at a rate calculated to equate to the then current Initial Term Loan amortization rate based on the next scheduled Initial Term Loans amortization payment and the then outstanding principal amount of the Initial Term Loans at the time of determination as set forth in the Credit Agreement. The Initial Revolving Loans do not require amortization payments.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the Credit Agreement requires mandatory prepayments of the Term Loans with:</w:t>
      </w:r>
    </w:p>
    <w:p>
      <w:pPr>
        <w:spacing w:after="0" w:line="131" w:lineRule="exact"/>
        <w:rPr>
          <w:sz w:val="20"/>
          <w:szCs w:val="20"/>
          <w:color w:val="auto"/>
        </w:rPr>
      </w:pPr>
    </w:p>
    <w:p>
      <w:pPr>
        <w:ind w:left="1080" w:right="80" w:hanging="532"/>
        <w:spacing w:after="0" w:line="301"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Excess Cash Flow (as defined in the Credit Agreement) for any fiscal year if the total leverage ratio is greater than 6.50:1.00. If the total leverage ratio for such fiscal year is (i) greater than 7.00:1.00, 50% of the Excess Cash Flow is required to be applied to prepay the term loan or (ii) less than or equal to 7.00:1.00 and greater than 6.50:1.00, 25% of the Excess Cash Flow is required to be applied to prepay the term loan, in each case of the foregoing clauses (i) and (ii), to the extent the amount of such prepayment exceeds $5,000,000;</w:t>
      </w:r>
    </w:p>
    <w:p>
      <w:pPr>
        <w:spacing w:after="0" w:line="62" w:lineRule="exact"/>
        <w:rPr>
          <w:rFonts w:ascii="Arial" w:cs="Arial" w:eastAsia="Arial" w:hAnsi="Arial"/>
          <w:sz w:val="16"/>
          <w:szCs w:val="16"/>
          <w:color w:val="auto"/>
        </w:rPr>
      </w:pPr>
    </w:p>
    <w:p>
      <w:pPr>
        <w:ind w:left="1080" w:right="78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and/or insurance/condemnation events above a threshold amount, subject to reinvestment rights and other exceptions; and</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100% of the net cash proceeds of any issuance or incurrence of debt that is not permitted by the Credit Agreement, subject to certain exceptions.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Term Loans mature on July 16, 2026 and the Initial Revolving Loans mature on July 16, 2024. Undrawn commitments with respect to the Initial Delayed Draw Term Loans terminate on July 16,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Guarantors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obligations of the Borrower under the Credit Agreement are required to be guaranteed by AIDH Buyer and, subject to customary exceptions, each existing and future wholly-owned subsidiary of the Borrower.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obligations of the Borrower under the Credit Agreement are secured by first-priority security interests in substantially all of the assets of the Borrower and the guarantors, subject to permitted liens and other customary exceptions.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Credit Agreement contains customary affirmative covenants (including reporting obligations) and negative covenants and requires the Borrower to make customary representations and warranties. The negative covenants, among other things and subject to certain exceptions, limit the ability of the Borrower and certain of its subsidiaries to:</w:t>
      </w:r>
    </w:p>
    <w:p>
      <w:pPr>
        <w:spacing w:after="0" w:line="89"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5480" w:right="5320" w:hanging="4932"/>
        <w:spacing w:after="0" w:line="387" w:lineRule="auto"/>
        <w:tabs>
          <w:tab w:leader="none" w:pos="107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pay dividends or make other distributions in respect of equity; 145</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payments in respect of certain debt;</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burdensome agreements, including agreements with restrictions on the ability of loan parties to grant liens on their assets to secure the Senior Credit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investments, including acquisitions, loans and advances;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consolidate, merge, liquidate, wind up or dissolve;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materially alter the business conducted by the Borrower and certain of its subsidiaries; and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amend or otherwise modify the subordination terms of the documentation governing certain restricted debt in a manner that is materially adverse to the Lenders.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negative covenants also limit the ability, subject to certain exceptions, of DH Holdings to incur or guarantee additional indebtedness, create liens, consolidate or merge and sell, transfer or otherwise dispose of assets .</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Covenant</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Credit Agreement contains a financial covenant, which requires the Borrower to maintain a total leverage ratio of consolidated net debt to Consolidated Adjusted EBITDA (as defined in the Credit Agreement) no greater than 12.0:1.0 (or 10.0:1.0 commencing on the last day of the fiscal quarter ending December 31, 2021). The financial covenant is subject to customary “equity cure” rights: upon the occurrence of an event of default as a result of the Borrower’s failure to comply with the financial covenant, the Borrower has the right to, at any time no later than the date that is fifteen business days after such occurrence of such event of default, issue qualified capital stock or other equity for cash or otherwise receive cash contributions for its qualified capital stock, which amount will increase Consolidated Adjusted EBITDA on a pro forma basis solely for the purpose of determining the Borrower’s compliance with the financial covenant. The Borrower may not exercise its equity cure right for more than two fiscal quarters in each four consecutive fiscal quarters. During the term of the Credit Agreement, the Borrower may exercise its equity cure right up to five times.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 unreimbursed letter of credit disbursement, the rate of interest otherwise applicable to the relevant loan or letter of credit disbursement or, in the case of any other amount, the rate applicable to Initial Revolving Loans that bear interest by reference to the Alternate Base Rate.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this offering, we will amend and restate our certificate of incorporation and our bylaws. The following is a description of the material terms of, and is qualified in its entirety by, our certificate of incorporation and bylaws, each of which will be in effect upon the consummation of this offering, the forms of which are filed as exhibits to the registration statement of which this prospectus forms a part. Under “Description of Capital Stock,” “we,” “us,” “our” and “our company” refer to Definitive Healthcare Corp.</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60" w:firstLine="440"/>
        <w:spacing w:after="0" w:line="258" w:lineRule="auto"/>
        <w:rPr>
          <w:sz w:val="20"/>
          <w:szCs w:val="20"/>
          <w:color w:val="auto"/>
        </w:rPr>
      </w:pPr>
      <w:r>
        <w:rPr>
          <w:rFonts w:ascii="Arial" w:cs="Arial" w:eastAsia="Arial" w:hAnsi="Arial"/>
          <w:sz w:val="18"/>
          <w:szCs w:val="18"/>
          <w:color w:val="auto"/>
        </w:rPr>
        <w:t>Upon the consummation of this offering, our authorized capital stock will consist of shares of Class A common stock, par value $0.001 per share, shares of Class B common stock, par value $0.001, and shares of preferred stock, par value $ per share. Unless our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 determines otherwise, we will issue all shares of our capital stock in uncertificated form.</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84"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share of Class B common stock will entitle its holder to one vote per share on all matters submitted to a vote of our stockholders. If at any time the ratio at which LLC Units are redeemable or exchangeable for shares of our Class A common stock changes from one-for-one as described under “Certain Relationships and Related Party Transactions—Amended Definitive OpCo Agreement,” the number of votes to which Class B common stockholders are entitled will be adjusted accordingly. The holders of our Class B common stock do not have cumulative voting rights in the election of directors.</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The Class B common stock is not entitled to economic interests in Definitive Healthcare Corp. Holders of our Class B common stock do not have any right to receive dividends or to receive a distribution upon a liquidation or winding up of Definitive Healthcare Corp. However, if Definitive OpCo makes distributions to Definitive Healthcare Corp., the other holders of LLC Units, including the Continuing Pre-IPO LLC Members, will be entitled to receive distributions pro rata in accordance with the percentages of their respective LLC Units. The Class B common stock will not be subject to further calls or assessment by 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No shares of preferred stock will be issued or outstanding immediately after the offering contemplated by this prospectus. Our certificate of incorporation will authorize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will be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8"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 up of the affairs of our company;</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Capital Stock</w:t>
      </w:r>
    </w:p>
    <w:p>
      <w:pPr>
        <w:sectPr>
          <w:pgSz w:w="11900" w:h="16838" w:orient="portrait"/>
          <w:cols w:equalWidth="0" w:num="1">
            <w:col w:w="11100"/>
          </w:cols>
          <w:pgMar w:left="320" w:top="459" w:right="479" w:bottom="1440" w:gutter="0" w:footer="0" w:header="0"/>
        </w:sectPr>
      </w:pP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the which would apply so long as the shares of Class A common stock remains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31" w:lineRule="exact"/>
        <w:rPr>
          <w:sz w:val="20"/>
          <w:szCs w:val="20"/>
          <w:color w:val="auto"/>
        </w:rPr>
      </w:pPr>
    </w:p>
    <w:p>
      <w:pPr>
        <w:sectPr>
          <w:pgSz w:w="11900" w:h="16838" w:orient="portrait"/>
          <w:cols w:equalWidth="0" w:num="2">
            <w:col w:w="10060" w:space="720"/>
            <w:col w:w="32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00"/>
          </w:cols>
          <w:pgMar w:left="320" w:top="459" w:right="47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36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519"/>
        </w:trPr>
        <w:tc>
          <w:tcPr>
            <w:tcW w:w="1360" w:type="dxa"/>
            <w:vAlign w:val="bottom"/>
          </w:tcPr>
          <w:p>
            <w:pPr>
              <w:ind w:left="120"/>
              <w:spacing w:after="0"/>
              <w:rPr>
                <w:sz w:val="20"/>
                <w:szCs w:val="20"/>
                <w:color w:val="auto"/>
              </w:rPr>
            </w:pPr>
            <w:r>
              <w:rPr>
                <w:rFonts w:ascii="Arial" w:cs="Arial" w:eastAsia="Arial" w:hAnsi="Arial"/>
                <w:sz w:val="18"/>
                <w:szCs w:val="18"/>
                <w:color w:val="auto"/>
              </w:rPr>
              <w:t>listed on the</w:t>
            </w:r>
          </w:p>
        </w:tc>
        <w:tc>
          <w:tcPr>
            <w:tcW w:w="9440" w:type="dxa"/>
            <w:vAlign w:val="bottom"/>
            <w:gridSpan w:val="2"/>
          </w:tcPr>
          <w:p>
            <w:pPr>
              <w:ind w:left="360"/>
              <w:spacing w:after="0"/>
              <w:rPr>
                <w:sz w:val="20"/>
                <w:szCs w:val="20"/>
                <w:color w:val="auto"/>
              </w:rPr>
            </w:pPr>
            <w:r>
              <w:rPr>
                <w:rFonts w:ascii="Arial" w:cs="Arial" w:eastAsia="Arial" w:hAnsi="Arial"/>
                <w:sz w:val="18"/>
                <w:szCs w:val="18"/>
                <w:color w:val="auto"/>
                <w:w w:val="90"/>
              </w:rPr>
              <w:t>, require stockholder approval of certain issuances equal to or exceeding 20% of the then outstanding voting power or the then</w:t>
            </w:r>
          </w:p>
        </w:tc>
      </w:tr>
      <w:tr>
        <w:trPr>
          <w:trHeight w:val="230"/>
        </w:trPr>
        <w:tc>
          <w:tcPr>
            <w:tcW w:w="6720" w:type="dxa"/>
            <w:vAlign w:val="bottom"/>
            <w:gridSpan w:val="2"/>
          </w:tcPr>
          <w:p>
            <w:pPr>
              <w:ind w:left="120"/>
              <w:spacing w:after="0"/>
              <w:rPr>
                <w:sz w:val="20"/>
                <w:szCs w:val="20"/>
                <w:color w:val="auto"/>
              </w:rPr>
            </w:pPr>
            <w:r>
              <w:rPr>
                <w:rFonts w:ascii="Arial" w:cs="Arial" w:eastAsia="Arial" w:hAnsi="Arial"/>
                <w:sz w:val="18"/>
                <w:szCs w:val="18"/>
                <w:color w:val="auto"/>
                <w:w w:val="95"/>
              </w:rPr>
              <w:t>outstanding number of shares of Class A common stock (we believe the position of the</w:t>
            </w:r>
          </w:p>
        </w:tc>
        <w:tc>
          <w:tcPr>
            <w:tcW w:w="4080" w:type="dxa"/>
            <w:vAlign w:val="bottom"/>
          </w:tcPr>
          <w:p>
            <w:pPr>
              <w:ind w:left="360"/>
              <w:spacing w:after="0"/>
              <w:rPr>
                <w:sz w:val="20"/>
                <w:szCs w:val="20"/>
                <w:color w:val="auto"/>
              </w:rPr>
            </w:pPr>
            <w:r>
              <w:rPr>
                <w:rFonts w:ascii="Arial" w:cs="Arial" w:eastAsia="Arial" w:hAnsi="Arial"/>
                <w:sz w:val="18"/>
                <w:szCs w:val="18"/>
                <w:color w:val="auto"/>
                <w:w w:val="96"/>
              </w:rPr>
              <w:t>is that the calculation in this latter case treats as</w:t>
            </w:r>
          </w:p>
        </w:tc>
      </w:tr>
    </w:tbl>
    <w:p>
      <w:pPr>
        <w:jc w:val="both"/>
        <w:ind w:left="12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shares of Class A common stock issuable upon redemption or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9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certificate of incorporation and our bylaws will provide that annual stockholder meetings will be held at a date, time and place, if any, as exclusively selected by our board of directors. Our certificate of incorporation will provide that, subject to any special rights of the holders as required by law, special meetings of the stockholders can only be called by the chairman of the board, the chief executive officer or the president of the Company, at the request of holders of a majority of the total voting power of our outstanding shares of common stock, voting together as a single class. Except as described above, stockholders are not permitted to call a special meeting or to require the board of directors to call a special meeting. To the extent permitted under applicable law, we may conduct meetings by remote communications, including by webcast.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 Redemption and Exchange</w:t>
      </w:r>
    </w:p>
    <w:p>
      <w:pPr>
        <w:spacing w:after="0" w:line="121"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Under the Amended LLC Agreement, the holders of LLC Units will have the right, from and after the completion of this offering (subject to the terms of the Amended LLC Agreement), to require Definitive OpCo to redeem all or a portion of their LLC Units for, at our election, newly issued shares of Class A common stock on a one-for-one basis or a cash payment equal to the volume weighted average market price of one share of our Class A common stock for each LLC Unit redeemed (subject to customary adjustments, including for stock splits, stock dividends and reclassifications) in accordance with the terms of the Amended LLC Agreement. Additionally, in the event of a redemption request by a holder of LLC Units, we may, at our election, effect a direct exchange of cash or Class A common stock for LLC Units in lieu of such a redemption. Shares of Class B common stock will be canceled on a one-for-one basis if we, following a redemption request of a holder of LLC Units, redeem or exchange LLC Units of such holder of LLC Units pursuant to the terms of the Amended LLC Agreement. See “Certain Relationships and Related Party Transactions—Amended Definitive OpCo Agreement.”</w:t>
      </w:r>
    </w:p>
    <w:p>
      <w:pPr>
        <w:spacing w:after="0" w:line="19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for transfers to us pursuant to the Amended LLC Agreement or to certain permitted transferees, the LLC Units and corresponding shares of Class B common stock may not be sold, transferred or otherwise disposed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46"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the Class A common stock nor the Class B common stock has any preemptive or other subscription rights.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will be no redemption, conversion or sinking fund provisions applicable to the Class A common stock or Class B common stock.</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At such time when no LLC Units remain redeemable or exchangeable for shares of our Class A common stock, our Class B common stock will be canceled.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amended and restated certificate of incorporation and amended and restated bylaws will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amended and restated bylaws will provide that special meetings of the stockholders may be called only upon the request of a majority of our Board, our Chair or upon the request of the Chief Executive Officer.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of Nominations and Other Business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our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 and Related Provisions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amended and restated certificate of incorporation will provide that our Board will be divided into three classes, with one class being elected at each annual meeting of stockholders with termination staggered according to class. Beginning at the first annual meeting of stockholders, the directors whose terms expire at such annual meeting and any subsequent annual meeting will be elected to hold office for a one-year term expiring at the next annual meeting of stockholders and until such director’s successor shall have been elected and qualified. The Board will be fully declassified following the third annual meeting with all directors standing for election for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one-year terms. This initial classified board provision will prevent a third-party who acquires control of a majority of our outstanding voting stock from obtaining control of our Board until at least the second annual stockholders meeting following the date the acquiror obtains the controlling interest.</w:t>
      </w:r>
    </w:p>
    <w:p>
      <w:pPr>
        <w:spacing w:after="0" w:line="12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number of directors constituting our Board is determined from time to time by our Board. Our amended and restated certificate of incorporation will also provide that, subject to any rights of any preferred stock then outstanding, any director may be removed from office at any time but only for cause so long as the Board is classified and only by the affirmative vote of the holders of a majority of the voting power of the shares entitled to vote for the election of directors, considered for this purpose as one class. In addition, our amended and restated certificate of incorporation will provide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amended and restated certificate of incorporation will provide that,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amended and restated certificate of incorporation will provide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will apply even if the business combination could be considered beneficial by some stockholders. Our amended and restated certificate of incorporation will contain provisions that have the same effect as Section 203 of the DGCL, but such provisions will not apply to our Sponsor and its affiliates. Although we have elected to opt out of the statute’s provisions, we could elect to be subject to Section 203 in the future.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to Bylaws and Certificate of Incorporation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ind w:left="120" w:right="160" w:hanging="4"/>
        <w:spacing w:after="0" w:line="323" w:lineRule="auto"/>
        <w:tabs>
          <w:tab w:leader="none" w:pos="33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affirmative vote of a majority of the directors then in office, subject to any limitations set forth in the bylaws, without further stockholder action or (ii) the affirmative vote of at least a majority of the outstanding shares entitled to vote on the amendment, without further action by our Board.</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except for, as to each of</w:t>
      </w:r>
    </w:p>
    <w:p>
      <w:pPr>
        <w:spacing w:after="0" w:line="2" w:lineRule="exact"/>
        <w:rPr>
          <w:sz w:val="20"/>
          <w:szCs w:val="20"/>
          <w:color w:val="auto"/>
        </w:rPr>
      </w:pPr>
    </w:p>
    <w:p>
      <w:pPr>
        <w:ind w:left="120" w:hanging="4"/>
        <w:spacing w:after="0" w:line="267" w:lineRule="auto"/>
        <w:tabs>
          <w:tab w:leader="none" w:pos="33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through (iv) above, any action as to which the Court of Chancery of the State of Delaware determines that there is an indispensable party not subject to the personal jurisdiction of the Court of Chancery of the State of Delaware (and the indispensable party does not consent to the personal jurisdiction of the Court of Chancery of the State of Delaware within 10 days following such determination), in which case the U.S. District Court for the District of Delaware or other state courts of the State of Delaware, as applicable, shall, to the fullest extent permitted by law, be the sole and exclusive forum for any such claims. Additionally, unless we consent in writing to the selection of an alternative forum, the federal district courts of the U.S. shall be the sole and exclusive forum for the resolution of any action asserting a claim arising under the Securities Act, the Exchange Act or the rules and regulations promulgated thereunder. 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neither our Sponsor nor a director affiliated with a Sponsors will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tabs>
          <w:tab w:leader="none" w:pos="7040" w:val="left"/>
        </w:tabs>
        <w:rPr>
          <w:sz w:val="20"/>
          <w:szCs w:val="20"/>
          <w:color w:val="auto"/>
        </w:rPr>
      </w:pPr>
      <w:r>
        <w:rPr>
          <w:rFonts w:ascii="Arial" w:cs="Arial" w:eastAsia="Arial" w:hAnsi="Arial"/>
          <w:sz w:val="18"/>
          <w:szCs w:val="18"/>
          <w:color w:val="auto"/>
        </w:rPr>
        <w:t>We will apply to have our Class A common stock approved for listing on the</w:t>
      </w:r>
      <w:r>
        <w:rPr>
          <w:sz w:val="20"/>
          <w:szCs w:val="20"/>
          <w:color w:val="auto"/>
        </w:rPr>
        <w:tab/>
      </w:r>
      <w:r>
        <w:rPr>
          <w:rFonts w:ascii="Arial" w:cs="Arial" w:eastAsia="Arial" w:hAnsi="Arial"/>
          <w:sz w:val="17"/>
          <w:szCs w:val="17"/>
          <w:color w:val="auto"/>
        </w:rPr>
        <w:t>under the symbol “DH.”</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tabs>
          <w:tab w:leader="none" w:pos="6120" w:val="left"/>
        </w:tabs>
        <w:rPr>
          <w:sz w:val="20"/>
          <w:szCs w:val="20"/>
          <w:color w:val="auto"/>
        </w:rPr>
      </w:pPr>
      <w:r>
        <w:rPr>
          <w:rFonts w:ascii="Arial" w:cs="Arial" w:eastAsia="Arial" w:hAnsi="Arial"/>
          <w:sz w:val="18"/>
          <w:szCs w:val="18"/>
          <w:color w:val="auto"/>
        </w:rPr>
        <w:t>The transfer agent and registrar for the Class A common stock is</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color w:val="auto"/>
        </w:rPr>
        <w:t>Upon the consummation of this offering, we will have shares of Class A common stock (or shares if the underwriters exercise their option to purchase additional shares of Class A common stock in full) outstanding. Of these shares, the shares sold in this offering (or</w:t>
      </w:r>
    </w:p>
    <w:p>
      <w:pPr>
        <w:spacing w:after="0" w:line="1" w:lineRule="exact"/>
        <w:rPr>
          <w:sz w:val="20"/>
          <w:szCs w:val="20"/>
          <w:color w:val="auto"/>
        </w:rPr>
      </w:pPr>
    </w:p>
    <w:p>
      <w:pPr>
        <w:ind w:left="120" w:right="80" w:firstLine="765"/>
        <w:spacing w:after="0" w:line="224" w:lineRule="auto"/>
        <w:rPr>
          <w:sz w:val="20"/>
          <w:szCs w:val="20"/>
          <w:color w:val="auto"/>
        </w:rPr>
      </w:pPr>
      <w:r>
        <w:rPr>
          <w:rFonts w:ascii="Arial" w:cs="Arial" w:eastAsia="Arial" w:hAnsi="Arial"/>
          <w:sz w:val="10"/>
          <w:szCs w:val="10"/>
          <w:color w:val="auto"/>
        </w:rPr>
        <w:t>shares if the underwriters exercise their option to purchase additional shares of Class A common stock in full) will be freely tradable, without further restriction or registration under the Securities Act, except any shares held by our “affiliates,” as that term is defined in Rule 144 under the Securities Act, or any shares purchased in our directed share program which are subject to the lock-up agreements described in “Underwriting.”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offering, approximately of our outstanding shares of Class A common stock will be deemed “restricted securities,” as that term is defined under Rule 144, and would also be subject to the “lock-up” period noted below.</w:t>
      </w:r>
    </w:p>
    <w:p>
      <w:pPr>
        <w:spacing w:after="0" w:line="170" w:lineRule="exact"/>
        <w:rPr>
          <w:sz w:val="20"/>
          <w:szCs w:val="20"/>
          <w:color w:val="auto"/>
        </w:rPr>
      </w:pPr>
    </w:p>
    <w:p>
      <w:pPr>
        <w:ind w:left="560"/>
        <w:spacing w:after="0"/>
        <w:tabs>
          <w:tab w:leader="none" w:pos="9300" w:val="left"/>
        </w:tabs>
        <w:rPr>
          <w:sz w:val="20"/>
          <w:szCs w:val="20"/>
          <w:color w:val="auto"/>
        </w:rPr>
      </w:pPr>
      <w:r>
        <w:rPr>
          <w:rFonts w:ascii="Arial" w:cs="Arial" w:eastAsia="Arial" w:hAnsi="Arial"/>
          <w:sz w:val="18"/>
          <w:szCs w:val="18"/>
          <w:color w:val="auto"/>
        </w:rPr>
        <w:t>In addition, upon the consummation of the offering, the Continuing Pre-IPO LLC Members will own all of the</w:t>
      </w:r>
      <w:r>
        <w:rPr>
          <w:sz w:val="20"/>
          <w:szCs w:val="20"/>
          <w:color w:val="auto"/>
        </w:rPr>
        <w:tab/>
      </w:r>
      <w:r>
        <w:rPr>
          <w:rFonts w:ascii="Arial" w:cs="Arial" w:eastAsia="Arial" w:hAnsi="Arial"/>
          <w:sz w:val="16"/>
          <w:szCs w:val="16"/>
          <w:color w:val="auto"/>
        </w:rPr>
        <w:t>shares of our Class B</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common stock. The Continuing Pre-IPO LLC Members, from time to time following the offering may require Definitive OpCo to redeem or exchange all or a portion of their LLC Units for newly-issued shares of Class A common stock on a one-for-one basis. Shares of our Class B common stock will be canceled on a one-for-one basis if we, following a redemption request of a Continuing Pre-IPO LLC Member, redeem or exchange LLC Units of such Continuing Pre-IPO LLC Member pursuant to the terms of the Amended LLC Agreement. Shares of our Class A common stock issuable to the Continuing Pre-IPO LLC Members upon a redemption or exchange of LLC Units would be considered “restricted securities,” as that term is defined under Rule 144 and would also be subject to the “lock-up” period noted below.</w:t>
      </w:r>
    </w:p>
    <w:p>
      <w:pPr>
        <w:spacing w:after="0" w:line="19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w:t>
      </w:r>
    </w:p>
    <w:p>
      <w:pPr>
        <w:ind w:left="120" w:right="60"/>
        <w:spacing w:after="0" w:line="273" w:lineRule="auto"/>
        <w:rPr>
          <w:sz w:val="20"/>
          <w:szCs w:val="20"/>
          <w:color w:val="auto"/>
        </w:rPr>
      </w:pPr>
      <w:r>
        <w:rPr>
          <w:rFonts w:ascii="Arial" w:cs="Arial" w:eastAsia="Arial" w:hAnsi="Arial"/>
          <w:sz w:val="17"/>
          <w:szCs w:val="17"/>
          <w:color w:val="auto"/>
        </w:rPr>
        <w:t>under the Securities Act. Immediately following the consummation of this offering, the holders of approximately shares of our Class A common stock (on an assumed as-exchanged basis) will be entitled to dispose of their shares following the expiration of an initial 180-day underwriter “lock-up” period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Arrangements and Registration Rights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connection with this offering, we, each of our directors, executive officers and certain other stockholders, will enter into lock-up agreements that restrict the sale of our securities for up to 180 days after the date of this prospectus, subject to certain exceptions or an extension in certain circumstances.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 Registration Rights Agreement.” If these stockholders exercise this right, our other existing stockholders may require us to register their registrable securities.</w:t>
      </w:r>
    </w:p>
    <w:p>
      <w:pPr>
        <w:spacing w:after="0" w:line="18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executive officers, directors and certain of our stockholders have agreed that, for a period of 180 days from the date of this prospectus, they will not, without the prior written consent of the representatives of the underwriters, dispose of or hedge any shares of our common stock or any securities convertible into or exchangeable for our common stock (including LLC Units) subject to certain exceptions (including dispositions in connection with the Reorganization Transactions).</w:t>
      </w:r>
    </w:p>
    <w:p>
      <w:pPr>
        <w:spacing w:after="0" w:line="18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Immediately following the consummation of this offering, stockholders subject to lock-up agreements will hold shares of our Class A common stock (assuming the Continuing Pre-IPO LLC Members redeem or exchange all their Class B common stock and LLC Units for shares of our</w:t>
      </w:r>
    </w:p>
    <w:p>
      <w:pPr>
        <w:ind w:left="120"/>
        <w:spacing w:after="0"/>
        <w:tabs>
          <w:tab w:leader="none" w:pos="4680" w:val="left"/>
        </w:tabs>
        <w:rPr>
          <w:sz w:val="20"/>
          <w:szCs w:val="20"/>
          <w:color w:val="auto"/>
        </w:rPr>
      </w:pPr>
      <w:r>
        <w:rPr>
          <w:rFonts w:ascii="Arial" w:cs="Arial" w:eastAsia="Arial" w:hAnsi="Arial"/>
          <w:sz w:val="18"/>
          <w:szCs w:val="18"/>
          <w:color w:val="auto"/>
        </w:rPr>
        <w:t>Class A common stock), representing approximately</w:t>
      </w:r>
      <w:r>
        <w:rPr>
          <w:sz w:val="20"/>
          <w:szCs w:val="20"/>
          <w:color w:val="auto"/>
        </w:rPr>
        <w:tab/>
      </w:r>
      <w:r>
        <w:rPr>
          <w:rFonts w:ascii="Arial" w:cs="Arial" w:eastAsia="Arial" w:hAnsi="Arial"/>
          <w:sz w:val="16"/>
          <w:szCs w:val="16"/>
          <w:color w:val="auto"/>
        </w:rPr>
        <w:t>% of our then-outstanding shares of Class A common stock (or approximately</w:t>
      </w:r>
    </w:p>
    <w:p>
      <w:pPr>
        <w:spacing w:after="0" w:line="9" w:lineRule="exact"/>
        <w:rPr>
          <w:sz w:val="20"/>
          <w:szCs w:val="20"/>
          <w:color w:val="auto"/>
        </w:rPr>
      </w:pPr>
    </w:p>
    <w:p>
      <w:pPr>
        <w:ind w:left="120" w:right="100" w:firstLine="716"/>
        <w:spacing w:after="0" w:line="260" w:lineRule="auto"/>
        <w:tabs>
          <w:tab w:leader="none" w:pos="10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 our then- outstanding shares of Class A common stock if the underwriters exercise their option to purchase additional shares of Class A common stock in full and giving effect to the use of the net proceeds therefrom).</w:t>
      </w:r>
    </w:p>
    <w:p>
      <w:pPr>
        <w:spacing w:after="0" w:line="185"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We have agreed, subject to certain exceptions, not to issue, sell or otherwise dispose of any shares of our Class A common stock or any securities convertible into or exchangeable for our Class A common stock (including LLC Units) during the 180-day period following the date of this 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82"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Class A common stock outstanding;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common stock for the four calendar weeks prior to the sale.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Such sales are also subject to specific manner of sale provisions, a six-month holding period requirement, notice requirements and the availability of current public information about us.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Approximately shares of our Class A common stock that are not subject to lock-up arrangements described above will be eligible for sale under Rule 144 immediately upon the closing.</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Rule 144 also provides that a person who is not deemed to have been an affiliate of ours at any time during the three months preceding a sale, and who has for at least six months beneficially owned shares of our Class A common stock that are restricted securities, will be entitled to freely sell such shares of our Class A common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60"/>
          </w:cols>
          <w:pgMar w:left="320" w:top="459"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Issued Under Employee Plans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to register stock issuable pursuant to awards granted under our 2021 Plan. This registration statement on Form S-8 is expected to be filed following the effective date of the registration statement of which this prospectus is a part and will be effective upon filing.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Registration Statements</w:t>
      </w:r>
    </w:p>
    <w:p>
      <w:pPr>
        <w:spacing w:after="0" w:line="121" w:lineRule="exact"/>
        <w:rPr>
          <w:sz w:val="20"/>
          <w:szCs w:val="20"/>
          <w:color w:val="auto"/>
        </w:rPr>
      </w:pPr>
    </w:p>
    <w:p>
      <w:pPr>
        <w:ind w:left="560"/>
        <w:spacing w:after="0"/>
        <w:tabs>
          <w:tab w:leader="none" w:pos="7780" w:val="left"/>
        </w:tabs>
        <w:rPr>
          <w:sz w:val="20"/>
          <w:szCs w:val="20"/>
          <w:color w:val="auto"/>
        </w:rPr>
      </w:pPr>
      <w:r>
        <w:rPr>
          <w:rFonts w:ascii="Arial" w:cs="Arial" w:eastAsia="Arial" w:hAnsi="Arial"/>
          <w:sz w:val="18"/>
          <w:szCs w:val="18"/>
          <w:color w:val="auto"/>
        </w:rPr>
        <w:t>We intend to file a registration statement on Form S-8 under the Securities Act to register</w:t>
      </w:r>
      <w:r>
        <w:rPr>
          <w:sz w:val="20"/>
          <w:szCs w:val="20"/>
          <w:color w:val="auto"/>
        </w:rPr>
        <w:tab/>
      </w:r>
      <w:r>
        <w:rPr>
          <w:rFonts w:ascii="Arial" w:cs="Arial" w:eastAsia="Arial" w:hAnsi="Arial"/>
          <w:sz w:val="16"/>
          <w:szCs w:val="16"/>
          <w:color w:val="auto"/>
        </w:rPr>
        <w:t>shares of our Class A common stock to be</w:t>
      </w:r>
    </w:p>
    <w:p>
      <w:pPr>
        <w:spacing w:after="0" w:line="23"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7"/>
          <w:szCs w:val="17"/>
          <w:color w:val="auto"/>
        </w:rPr>
        <w:t>issued or reserved for issuance under our equity incentive plans.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U.S. Internal Revenue Code of 1986, as amended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88"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46"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2"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is created or organized in or under the laws of the U.S.,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 owner of such a pass-through entity, holding shares of our Class A common stock is urged to consult its own tax advisor as to the particular U.S. federal income tax consequences applicable to it.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Class A Common Stock</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“—Sales or Other Taxable Dispositions of Class A Common Stock.”</w:t>
      </w:r>
    </w:p>
    <w:p>
      <w:pPr>
        <w:spacing w:after="0" w:line="16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or Other Taxable Dispositions of Class A Common Stock</w:t>
      </w:r>
    </w:p>
    <w:p>
      <w:pPr>
        <w:spacing w:after="0" w:line="121"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29" w:lineRule="exact"/>
        <w:rPr>
          <w:sz w:val="20"/>
          <w:szCs w:val="20"/>
          <w:color w:val="auto"/>
        </w:rPr>
      </w:pPr>
    </w:p>
    <w:p>
      <w:pPr>
        <w:ind w:left="1080" w:right="40" w:hanging="532"/>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U.S. and the non-U.S. 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0"/>
        <w:spacing w:after="0" w:line="277" w:lineRule="auto"/>
        <w:rPr>
          <w:sz w:val="20"/>
          <w:szCs w:val="20"/>
          <w:color w:val="auto"/>
        </w:rPr>
      </w:pPr>
      <w:r>
        <w:rPr>
          <w:rFonts w:ascii="Arial" w:cs="Arial" w:eastAsia="Arial" w:hAnsi="Arial"/>
          <w:sz w:val="18"/>
          <w:szCs w:val="18"/>
          <w:color w:val="auto"/>
        </w:rPr>
        <w:t>country of residence, is attributable to a permanent establishment (or, in certain cases involving individual holders, a fixed base) maintained by the non-U.S. holder in the U.S. (in which case the special rules described below apply),</w:t>
      </w:r>
    </w:p>
    <w:p>
      <w:pPr>
        <w:spacing w:after="0" w:line="76" w:lineRule="exact"/>
        <w:rPr>
          <w:sz w:val="20"/>
          <w:szCs w:val="20"/>
          <w:color w:val="auto"/>
        </w:rPr>
      </w:pPr>
    </w:p>
    <w:p>
      <w:pPr>
        <w:ind w:left="1080" w:right="140" w:hanging="532"/>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2"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w:t>
      </w:r>
    </w:p>
    <w:p>
      <w:pPr>
        <w:spacing w:after="0" w:line="166"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Withholding Taxes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8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b w:val="1"/>
          <w:bCs w:val="1"/>
          <w:i w:val="1"/>
          <w:i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67" w:lineRule="exact"/>
        <w:rPr>
          <w:sz w:val="20"/>
          <w:szCs w:val="20"/>
          <w:color w:val="auto"/>
        </w:rPr>
      </w:pPr>
    </w:p>
    <w:p>
      <w:pPr>
        <w:ind w:left="1880"/>
        <w:spacing w:after="0"/>
        <w:tabs>
          <w:tab w:leader="none" w:pos="818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Goldman Sachs &amp; Co. LLC</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5715</wp:posOffset>
            </wp:positionV>
            <wp:extent cx="7112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5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underwriters have an option to buy up to an additional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show the per share and total underwriting discounts and commissions to be paid to the underwriters by us. Such amounts are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900" w:type="dxa"/>
            <w:vAlign w:val="bottom"/>
            <w:gridSpan w:val="3"/>
          </w:tcPr>
          <w:p>
            <w:pPr>
              <w:spacing w:after="0"/>
              <w:rPr>
                <w:sz w:val="20"/>
                <w:szCs w:val="20"/>
                <w:color w:val="auto"/>
              </w:rPr>
            </w:pPr>
            <w:r>
              <w:rPr>
                <w:rFonts w:ascii="Arial" w:cs="Arial" w:eastAsia="Arial" w:hAnsi="Arial"/>
                <w:sz w:val="18"/>
                <w:szCs w:val="18"/>
                <w:color w:val="auto"/>
                <w:w w:val="95"/>
              </w:rPr>
              <w:t>shown assuming both no exercise and full exercise of the underwriters’ option to purchase</w:t>
            </w:r>
          </w:p>
        </w:tc>
        <w:tc>
          <w:tcPr>
            <w:tcW w:w="3840" w:type="dxa"/>
            <w:vAlign w:val="bottom"/>
            <w:gridSpan w:val="5"/>
          </w:tcPr>
          <w:p>
            <w:pPr>
              <w:ind w:left="400"/>
              <w:spacing w:after="0"/>
              <w:rPr>
                <w:sz w:val="20"/>
                <w:szCs w:val="20"/>
                <w:color w:val="auto"/>
              </w:rPr>
            </w:pPr>
            <w:r>
              <w:rPr>
                <w:rFonts w:ascii="Arial" w:cs="Arial" w:eastAsia="Arial" w:hAnsi="Arial"/>
                <w:sz w:val="18"/>
                <w:szCs w:val="18"/>
                <w:color w:val="auto"/>
                <w:w w:val="89"/>
              </w:rPr>
              <w:t>additional shares of our Class A common stock.</w:t>
            </w:r>
          </w:p>
        </w:tc>
      </w:tr>
      <w:tr>
        <w:trPr>
          <w:trHeight w:val="397"/>
        </w:trPr>
        <w:tc>
          <w:tcPr>
            <w:tcW w:w="13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Paid by Us</w:t>
            </w:r>
          </w:p>
        </w:tc>
        <w:tc>
          <w:tcPr>
            <w:tcW w:w="4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7"/>
              </w:rPr>
              <w:t>No Exercise</w:t>
            </w:r>
          </w:p>
        </w:tc>
        <w:tc>
          <w:tcPr>
            <w:tcW w:w="56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203"/>
        </w:trPr>
        <w:tc>
          <w:tcPr>
            <w:tcW w:w="1320" w:type="dxa"/>
            <w:vAlign w:val="bottom"/>
          </w:tcPr>
          <w:p>
            <w:pPr>
              <w:spacing w:after="0"/>
              <w:rPr>
                <w:sz w:val="17"/>
                <w:szCs w:val="17"/>
                <w:color w:val="auto"/>
              </w:rPr>
            </w:pPr>
          </w:p>
        </w:tc>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Per share</w:t>
            </w: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79"/>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060" w:type="dxa"/>
            <w:vAlign w:val="bottom"/>
          </w:tcPr>
          <w:p>
            <w:pPr>
              <w:spacing w:after="0"/>
              <w:rPr>
                <w:sz w:val="17"/>
                <w:szCs w:val="17"/>
                <w:color w:val="auto"/>
              </w:rPr>
            </w:pPr>
          </w:p>
        </w:tc>
      </w:tr>
      <w:tr>
        <w:trPr>
          <w:trHeight w:val="230"/>
        </w:trPr>
        <w:tc>
          <w:tcPr>
            <w:tcW w:w="13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r>
    </w:tbl>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Shares of our Class A common stock sold by the underwriters to the public will initially be offered at the initial public offering price set forth on the cover page of this prospectus. Any shares of our Class A common stock sold by the underwriters to securities dealers may be sold at a discount of up</w:t>
      </w:r>
    </w:p>
    <w:p>
      <w:pPr>
        <w:jc w:val="both"/>
        <w:ind w:left="120" w:right="240"/>
        <w:spacing w:after="0" w:line="255" w:lineRule="auto"/>
        <w:rPr>
          <w:sz w:val="20"/>
          <w:szCs w:val="20"/>
          <w:color w:val="auto"/>
        </w:rPr>
      </w:pPr>
      <w:r>
        <w:rPr>
          <w:rFonts w:ascii="Arial" w:cs="Arial" w:eastAsia="Arial" w:hAnsi="Arial"/>
          <w:sz w:val="18"/>
          <w:szCs w:val="18"/>
          <w:color w:val="auto"/>
        </w:rPr>
        <w:t>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our officers and directors and holders of substantially all of our common stock have agreed with the underwriters, subject to certain exceptions, not to dispose of or hedge any shares of our Class A common stock or securities convertible into or exchangeable for shares of our Class A common stock during the period from the date of this prospectus continuing through the date 180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8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the representatives and us.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6940" w:val="left"/>
        </w:tabs>
        <w:rPr>
          <w:sz w:val="20"/>
          <w:szCs w:val="20"/>
          <w:color w:val="auto"/>
        </w:rPr>
      </w:pPr>
      <w:r>
        <w:rPr>
          <w:rFonts w:ascii="Arial" w:cs="Arial" w:eastAsia="Arial" w:hAnsi="Arial"/>
          <w:sz w:val="18"/>
          <w:szCs w:val="18"/>
          <w:color w:val="auto"/>
        </w:rPr>
        <w:t>We intend to apply to have our Class A common stock approved for listing on</w:t>
      </w:r>
      <w:r>
        <w:rPr>
          <w:sz w:val="20"/>
          <w:szCs w:val="20"/>
          <w:color w:val="auto"/>
        </w:rPr>
        <w:tab/>
      </w:r>
      <w:r>
        <w:rPr>
          <w:rFonts w:ascii="Arial" w:cs="Arial" w:eastAsia="Arial" w:hAnsi="Arial"/>
          <w:sz w:val="17"/>
          <w:szCs w:val="17"/>
          <w:color w:val="auto"/>
        </w:rPr>
        <w:t>under the symbol “DH.”</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8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w:t>
      </w:r>
    </w:p>
    <w:p>
      <w:pPr>
        <w:spacing w:after="0" w:line="1" w:lineRule="exact"/>
        <w:rPr>
          <w:sz w:val="20"/>
          <w:szCs w:val="20"/>
          <w:color w:val="auto"/>
        </w:rPr>
      </w:pPr>
    </w:p>
    <w:p>
      <w:pPr>
        <w:ind w:left="120"/>
        <w:spacing w:after="0"/>
        <w:tabs>
          <w:tab w:leader="none" w:pos="5500" w:val="left"/>
        </w:tabs>
        <w:rPr>
          <w:sz w:val="20"/>
          <w:szCs w:val="20"/>
          <w:color w:val="auto"/>
        </w:rPr>
      </w:pPr>
      <w:r>
        <w:rPr>
          <w:rFonts w:ascii="Arial" w:cs="Arial" w:eastAsia="Arial" w:hAnsi="Arial"/>
          <w:sz w:val="18"/>
          <w:szCs w:val="18"/>
          <w:color w:val="auto"/>
        </w:rPr>
        <w:t>activities at any time. These transactions may be effected on the</w:t>
      </w:r>
      <w:r>
        <w:rPr>
          <w:sz w:val="20"/>
          <w:szCs w:val="20"/>
          <w:color w:val="auto"/>
        </w:rPr>
        <w:tab/>
      </w:r>
      <w:r>
        <w:rPr>
          <w:rFonts w:ascii="Arial" w:cs="Arial" w:eastAsia="Arial" w:hAnsi="Arial"/>
          <w:sz w:val="16"/>
          <w:szCs w:val="16"/>
          <w:color w:val="auto"/>
        </w:rPr>
        <w:t>in the over-the-counter market or otherwise.</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tabs>
          <w:tab w:leader="none" w:pos="7880" w:val="left"/>
        </w:tabs>
        <w:rPr>
          <w:sz w:val="20"/>
          <w:szCs w:val="20"/>
          <w:color w:val="auto"/>
        </w:rPr>
      </w:pPr>
      <w:r>
        <w:rPr>
          <w:rFonts w:ascii="Arial" w:cs="Arial" w:eastAsia="Arial" w:hAnsi="Arial"/>
          <w:sz w:val="17"/>
          <w:szCs w:val="17"/>
          <w:color w:val="auto"/>
        </w:rPr>
        <w:t>. We have agreed to reimburse the underwriters for certain of their expenses in an amount of up to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00" w:space="720"/>
            <w:col w:w="10200"/>
          </w:cols>
          <w:pgMar w:left="320" w:top="459" w:right="459" w:bottom="1440" w:gutter="0" w:footer="0" w:header="0"/>
          <w:type w:val="continuous"/>
        </w:sectPr>
      </w:pPr>
    </w:p>
    <w:p>
      <w:pPr>
        <w:spacing w:after="0" w:line="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88"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type w:val="continuous"/>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relation to each Member State of the European Economic Area (each a “Relevant Member State”), no shares (the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7"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165"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29"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EU Prospectus Regulation; and</w:t>
      </w:r>
    </w:p>
    <w:p>
      <w:pPr>
        <w:spacing w:after="0" w:line="130" w:lineRule="exact"/>
        <w:rPr>
          <w:rFonts w:ascii="Arial" w:cs="Arial" w:eastAsia="Arial" w:hAnsi="Arial"/>
          <w:sz w:val="18"/>
          <w:szCs w:val="18"/>
          <w:color w:val="auto"/>
        </w:rPr>
      </w:pPr>
    </w:p>
    <w:p>
      <w:pPr>
        <w:ind w:left="1080" w:hanging="532"/>
        <w:spacing w:after="0" w:line="272"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7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54"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UK Prospectus Regulation.</w:t>
      </w:r>
    </w:p>
    <w:p>
      <w:pPr>
        <w:spacing w:after="0" w:line="225"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70"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6"/>
          <w:szCs w:val="16"/>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120" w:right="20" w:hanging="4"/>
        <w:spacing w:after="0" w:line="255" w:lineRule="auto"/>
        <w:tabs>
          <w:tab w:leader="none" w:pos="4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7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w:t>
      </w:r>
    </w:p>
    <w:p>
      <w:pPr>
        <w:spacing w:after="0" w:line="2" w:lineRule="exact"/>
        <w:rPr>
          <w:sz w:val="20"/>
          <w:szCs w:val="20"/>
          <w:color w:val="auto"/>
        </w:rPr>
      </w:pPr>
    </w:p>
    <w:p>
      <w:pPr>
        <w:ind w:left="120" w:right="60" w:hanging="4"/>
        <w:spacing w:after="0" w:line="270" w:lineRule="auto"/>
        <w:tabs>
          <w:tab w:leader="none" w:pos="43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6 months after that trust has acquired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under Section 275 of the SFA except: (1) to an institutional investor under Section 274 of the SFA or to a relevant person (as defined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275(2) of the SFA), (2) where such transfer arises from an offer that is made on terms that such rights or interest are acquired at a consideration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or other assets), (3) where no consideration is or will be given for the transfer, (4) where the transfer is by operation of law, (5) as specified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Monaco</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2" w:lineRule="exact"/>
        <w:rPr>
          <w:sz w:val="20"/>
          <w:szCs w:val="20"/>
          <w:color w:val="auto"/>
        </w:rPr>
      </w:pPr>
    </w:p>
    <w:p>
      <w:pPr>
        <w:ind w:left="120" w:right="380" w:hanging="4"/>
        <w:spacing w:after="0" w:line="255" w:lineRule="auto"/>
        <w:tabs>
          <w:tab w:leader="none" w:pos="38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60" w:hanging="532"/>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Zealand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has not been registered, filed with or approved by any New Zealand regulatory authority under the Financial Markets Conduct Act</w:t>
      </w:r>
    </w:p>
    <w:p>
      <w:pPr>
        <w:spacing w:after="0" w:line="46"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2013 (the “FMA Act”). The shares may only be offered or sold in New Zealand (or allotted with a view to being offered for sale in New Zealand) to a person who:</w:t>
      </w:r>
    </w:p>
    <w:p>
      <w:pPr>
        <w:spacing w:after="0" w:line="91"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a government agency within the meaning of clause 40 of Schedule 1 of the FMC Act;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is an eligible investor within the meaning of clause 41 of Schedule 1 of the FMC Act.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(“Commission”) for the Commission’s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w:t>
      </w:r>
    </w:p>
    <w:p>
      <w:pPr>
        <w:spacing w:after="0" w:line="2" w:lineRule="exact"/>
        <w:rPr>
          <w:sz w:val="20"/>
          <w:szCs w:val="20"/>
          <w:color w:val="auto"/>
        </w:rPr>
      </w:pPr>
    </w:p>
    <w:p>
      <w:pPr>
        <w:ind w:left="120" w:right="40" w:hanging="4"/>
        <w:spacing w:after="0" w:line="267" w:lineRule="auto"/>
        <w:tabs>
          <w:tab w:leader="none" w:pos="42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 (“DIFC”)</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Bahamas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are not offered, and the offer shall not be transferred, sold, renounced or delivered, in South Africa or to a person with an address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South Africa, unless one or other of the following exemptions stipulated in section 96 (1) applies:</w:t>
      </w:r>
    </w:p>
    <w:p>
      <w:pPr>
        <w:sectPr>
          <w:pgSz w:w="11900" w:h="16838" w:orient="portrait"/>
          <w:cols w:equalWidth="0" w:num="1">
            <w:col w:w="11080"/>
          </w:cols>
          <w:pgMar w:left="320" w:top="459" w:right="49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96(1)(a)</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offer, transfer, sale, renunciation or delivery is to:</w:t>
      </w:r>
    </w:p>
    <w:p>
      <w:pPr>
        <w:spacing w:after="0" w:line="200" w:lineRule="exact"/>
        <w:rPr>
          <w:sz w:val="20"/>
          <w:szCs w:val="20"/>
          <w:color w:val="auto"/>
        </w:rPr>
      </w:pPr>
    </w:p>
    <w:p>
      <w:pPr>
        <w:sectPr>
          <w:pgSz w:w="11900" w:h="16838" w:orient="portrait"/>
          <w:cols w:equalWidth="0" w:num="2">
            <w:col w:w="1300" w:space="580"/>
            <w:col w:w="9200"/>
          </w:cols>
          <w:pgMar w:left="320" w:top="459" w:right="499" w:bottom="1440" w:gutter="0" w:footer="0" w:header="0"/>
          <w:type w:val="continuous"/>
        </w:sectPr>
      </w:pPr>
    </w:p>
    <w:p>
      <w:pPr>
        <w:spacing w:after="0" w:line="7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(i) persons whose ordinary business, or part of whose ordinary business, is to deal in securities, as principal or agent;</w:t>
      </w:r>
    </w:p>
    <w:p>
      <w:pPr>
        <w:spacing w:after="0" w:line="26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(ii) the South African Public Investment Corporation;</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(iii) persons or entities regulated by the Reserve Bank of South Africa;</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(iv) authorized financial service providers under South African law;</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 financial institutions recognized as such under South African law;</w:t>
      </w:r>
    </w:p>
    <w:p>
      <w:pPr>
        <w:spacing w:after="0" w:line="252" w:lineRule="exact"/>
        <w:rPr>
          <w:sz w:val="20"/>
          <w:szCs w:val="20"/>
          <w:color w:val="auto"/>
        </w:rPr>
      </w:pPr>
    </w:p>
    <w:p>
      <w:pPr>
        <w:ind w:left="1880" w:right="20"/>
        <w:spacing w:after="0" w:line="263" w:lineRule="auto"/>
        <w:rPr>
          <w:sz w:val="20"/>
          <w:szCs w:val="20"/>
          <w:color w:val="auto"/>
        </w:rPr>
      </w:pPr>
      <w:r>
        <w:rPr>
          <w:rFonts w:ascii="Arial" w:cs="Arial" w:eastAsia="Arial" w:hAnsi="Arial"/>
          <w:sz w:val="18"/>
          <w:szCs w:val="18"/>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(vii) any combination of the person in (i) to (vi); or</w:t>
      </w:r>
    </w:p>
    <w:p>
      <w:pPr>
        <w:sectPr>
          <w:pgSz w:w="11900" w:h="16838" w:orient="portrait"/>
          <w:cols w:equalWidth="0" w:num="1">
            <w:col w:w="11080"/>
          </w:cols>
          <w:pgMar w:left="320" w:top="459" w:right="499" w:bottom="1440" w:gutter="0" w:footer="0" w:header="0"/>
          <w:type w:val="continuous"/>
        </w:sect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96(1)(b)</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84" w:lineRule="exact"/>
        <w:rPr>
          <w:sz w:val="20"/>
          <w:szCs w:val="20"/>
          <w:color w:val="auto"/>
        </w:rPr>
      </w:pPr>
    </w:p>
    <w:p>
      <w:pPr>
        <w:sectPr>
          <w:pgSz w:w="11900" w:h="16838" w:orient="portrait"/>
          <w:cols w:equalWidth="0" w:num="2">
            <w:col w:w="1300" w:space="580"/>
            <w:col w:w="9200"/>
          </w:cols>
          <w:pgMar w:left="320" w:top="459" w:right="499" w:bottom="1440" w:gutter="0" w:footer="0" w:header="0"/>
          <w:type w:val="continuous"/>
        </w:sectPr>
      </w:pPr>
    </w:p>
    <w:p>
      <w:pPr>
        <w:ind w:left="120" w:right="500" w:firstLine="440"/>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Chile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RULE 336 THE FOLLOWING INFORMATION IS PROVIDED IN CHILE TO PROSPECTIVE RESIDENT INVESTORS IN THE OFFERED SECURITIES:</w:t>
      </w:r>
    </w:p>
    <w:p>
      <w:pPr>
        <w:spacing w:after="0" w:line="76" w:lineRule="exact"/>
        <w:rPr>
          <w:sz w:val="20"/>
          <w:szCs w:val="20"/>
          <w:color w:val="auto"/>
        </w:rPr>
      </w:pPr>
    </w:p>
    <w:p>
      <w:pPr>
        <w:ind w:left="540"/>
        <w:spacing w:after="0"/>
        <w:tabs>
          <w:tab w:leader="none" w:pos="1060" w:val="left"/>
          <w:tab w:leader="none" w:pos="5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INITIATION OF THE OFFER IN CHILE IS</w:t>
      </w:r>
      <w:r>
        <w:rPr>
          <w:sz w:val="20"/>
          <w:szCs w:val="20"/>
          <w:color w:val="auto"/>
        </w:rPr>
        <w:tab/>
      </w:r>
      <w:r>
        <w:rPr>
          <w:rFonts w:ascii="Arial" w:cs="Arial" w:eastAsia="Arial" w:hAnsi="Arial"/>
          <w:sz w:val="13"/>
          <w:szCs w:val="13"/>
          <w:color w:val="auto"/>
        </w:rPr>
        <w:t>.</w:t>
      </w:r>
    </w:p>
    <w:p>
      <w:pPr>
        <w:spacing w:after="0" w:line="131" w:lineRule="exact"/>
        <w:rPr>
          <w:sz w:val="20"/>
          <w:szCs w:val="20"/>
          <w:color w:val="auto"/>
        </w:rPr>
      </w:pPr>
    </w:p>
    <w:p>
      <w:pPr>
        <w:ind w:left="1080" w:right="200" w:hanging="532"/>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OFFER IS SUBJECT TO NCG 336 OF JUNE 27, 2012 ISSUED BY THE SUPERINTENDENCIA DE VALORES Y SEGUROS DE CHILE (SUPERINTENDENCY OF SECURITIES AND INSURANCE OF CHILE).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532"/>
        <w:spacing w:after="0" w:line="263"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SECURITIES ARE NOT SUBJECT TO THE OVERSIGHT OF THE SVS; AND</w:t>
      </w:r>
    </w:p>
    <w:p>
      <w:pPr>
        <w:spacing w:after="0" w:line="130" w:lineRule="exact"/>
        <w:rPr>
          <w:rFonts w:ascii="Arial" w:cs="Arial" w:eastAsia="Arial" w:hAnsi="Arial"/>
          <w:sz w:val="18"/>
          <w:szCs w:val="18"/>
          <w:color w:val="auto"/>
        </w:rPr>
      </w:pPr>
    </w:p>
    <w:p>
      <w:pPr>
        <w:ind w:left="1540" w:right="80" w:hanging="439"/>
        <w:spacing w:after="0" w:line="277" w:lineRule="auto"/>
        <w:tabs>
          <w:tab w:leader="none" w:pos="15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ISSUER THEREFORE IS NOT SUBJECT TO REPORTING OBLIGATIONS WITH RESPECT TO ITSELF OR THE OFFERED SECURITIES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SECURITIES MAY NOT BE PUBLICLY OFFERED IN CHILE UNLESS AND UNTIL THEY ARE REGISTERED IN THE SECURITIES REGISTRY OF THE SVS.</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640"/>
          </w:cols>
          <w:pgMar w:left="320" w:top="459" w:right="9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INFORMACIÓN A LOS INVERSIONISTAS RESIDENTES EN CHILE</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EN CUMPLIMIENTO DE LA NCG 336, LA SIGUIENTE INFORMACIÓN SE PROPORCIONA A LOS POTENCIALES INVERSIONISTAS RESIDENTES EN CHILE:</w:t>
      </w:r>
    </w:p>
    <w:p>
      <w:pPr>
        <w:spacing w:after="0" w:line="76" w:lineRule="exact"/>
        <w:rPr>
          <w:sz w:val="20"/>
          <w:szCs w:val="20"/>
          <w:color w:val="auto"/>
        </w:rPr>
      </w:pPr>
    </w:p>
    <w:p>
      <w:pPr>
        <w:ind w:left="120"/>
        <w:spacing w:after="0"/>
        <w:tabs>
          <w:tab w:leader="none" w:pos="520" w:val="left"/>
          <w:tab w:leader="none" w:pos="6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LA OFERTA DE ESTOS VALORES EN CHILE COMIENZA EL DÍA</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0" w:right="1420" w:hanging="424"/>
        <w:spacing w:after="0" w:line="277"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LA OFERTA SE ENCUENTRA ACOGIDA A LA NCG 336 DE FECHA ECHA 27 DE JUNIO DE 2012 EMITIDA POR LA SUPERINTENDENCIA DE VALORES Y SEGUROS.</w:t>
      </w:r>
    </w:p>
    <w:p>
      <w:pPr>
        <w:spacing w:after="0" w:line="75" w:lineRule="exact"/>
        <w:rPr>
          <w:rFonts w:ascii="Arial" w:cs="Arial" w:eastAsia="Arial" w:hAnsi="Arial"/>
          <w:sz w:val="18"/>
          <w:szCs w:val="18"/>
          <w:color w:val="auto"/>
        </w:rPr>
      </w:pPr>
    </w:p>
    <w:p>
      <w:pPr>
        <w:ind w:left="540" w:right="740" w:hanging="424"/>
        <w:spacing w:after="0" w:line="308" w:lineRule="auto"/>
        <w:tabs>
          <w:tab w:leader="none" w:pos="5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LA OFERTA VERSA SOBRE VALORES QUE NO SE ENCUENTRAN INSCRITOS EN EL REGISTRO DE VALORES NI EN EL REGISTRO DE VALORES EXTRANJEROS QUE LLEVA LA SUPERINTENDENCIA DE VALORES Y SEGUROS, POR LO QUE:</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LOS VALORES NO ESTÁN SUJETOS A LA FISCALIZACIÓN DE ESA SUPERINTENDENCIA; 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EL EMISOR DE LOS VALORES NO ESTÁ SUJETO A LA OBLIGACIÓN DE ENTREGAR INFORMACIÓN PÚBLICA SOBRE LOS VALORES OFRECIDOS NI SU EMISOR.</w:t>
      </w:r>
    </w:p>
    <w:p>
      <w:pPr>
        <w:spacing w:after="0" w:line="75"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LOS VALORES PRIVADAMENTE OFRECIDOS NO PODRÁN SER OBJETO DE OFERTA PÚBLICA EN CHILE MIENTRAS NO SEAN INSCRITOS EN EL REGISTRO DE VALORES CORRESPONDIENTE.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Weil, Gotshal &amp; Manges LLP, New York, New York, has passed upon the validity of the Class A common stock offered hereby on behalf of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will be passed upon on behalf of the underwriters by Latham &amp; Watkins LLP, Chicago, Illinois.</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880"/>
          </w:cols>
          <w:pgMar w:left="320" w:top="459" w:right="6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60"/>
          </w:cols>
          <w:pgMar w:left="320" w:top="459"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66"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This registration statement, including its exhibits and schedules, will be filed with the SEC.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90"/>
              </w:rPr>
              <w:t>Index to Financial Statements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56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OF DEFINITIVE HEALTHCARE CORP.</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0560" w:type="dxa"/>
            <w:vAlign w:val="bottom"/>
            <w:gridSpan w:val="13"/>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84">
              <w:r>
                <w:rPr>
                  <w:rFonts w:ascii="Arial" w:cs="Arial" w:eastAsia="Arial" w:hAnsi="Arial"/>
                  <w:sz w:val="18"/>
                  <w:szCs w:val="18"/>
                  <w:color w:val="0000EE"/>
                  <w:w w:val="91"/>
                </w:rPr>
                <w:t>Report of Independent Registered Public Accounting Firm</w:t>
              </w:r>
            </w:hyperlink>
          </w:p>
        </w:tc>
        <w:tc>
          <w:tcPr>
            <w:tcW w:w="634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85">
              <w:r>
                <w:rPr>
                  <w:rFonts w:ascii="Arial" w:cs="Arial" w:eastAsia="Arial" w:hAnsi="Arial"/>
                  <w:sz w:val="18"/>
                  <w:szCs w:val="18"/>
                  <w:color w:val="0000EE"/>
                  <w:w w:val="88"/>
                </w:rPr>
                <w:t>Balance Sheet as of May 24, 2021</w:t>
              </w:r>
            </w:hyperlink>
          </w:p>
        </w:tc>
        <w:tc>
          <w:tcPr>
            <w:tcW w:w="810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Notes to Balance Sheet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60" w:type="dxa"/>
            <w:vAlign w:val="bottom"/>
            <w:gridSpan w:val="13"/>
          </w:tcPr>
          <w:p>
            <w:pPr>
              <w:spacing w:after="0"/>
              <w:rPr>
                <w:sz w:val="20"/>
                <w:szCs w:val="20"/>
                <w:color w:val="auto"/>
              </w:rPr>
            </w:pPr>
            <w:r>
              <w:rPr>
                <w:rFonts w:ascii="Arial" w:cs="Arial" w:eastAsia="Arial" w:hAnsi="Arial"/>
                <w:sz w:val="18"/>
                <w:szCs w:val="18"/>
                <w:b w:val="1"/>
                <w:bCs w:val="1"/>
                <w:color w:val="auto"/>
              </w:rPr>
              <w:t>CONSOLIDATED FINANCIAL STATEMENTS OF AIDH TOPCO, LLC (“DEFINITIVE OPCO”) AND SUBSIDIARIES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88">
              <w:r>
                <w:rPr>
                  <w:rFonts w:ascii="Arial" w:cs="Arial" w:eastAsia="Arial" w:hAnsi="Arial"/>
                  <w:sz w:val="18"/>
                  <w:szCs w:val="18"/>
                  <w:color w:val="0000EE"/>
                  <w:w w:val="91"/>
                </w:rPr>
                <w:t>Report of Independent Registered Public Accounting Firm</w:t>
              </w:r>
            </w:hyperlink>
          </w:p>
        </w:tc>
        <w:tc>
          <w:tcPr>
            <w:tcW w:w="634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 xml:space="preserve">Consolidated Balance Sheets as of December 31, 2020 and 2019 </w:t>
              </w:r>
            </w:hyperlink>
            <w:r>
              <w:rPr>
                <w:rFonts w:ascii="Arial" w:cs="Arial" w:eastAsia="Arial" w:hAnsi="Arial"/>
                <w:sz w:val="18"/>
                <w:szCs w:val="18"/>
                <w:color w:val="000000"/>
              </w:rPr>
              <w:t>(Successor</w:t>
            </w:r>
            <w:r>
              <w:rPr>
                <w:rFonts w:ascii="Arial" w:cs="Arial" w:eastAsia="Arial" w:hAnsi="Arial"/>
                <w:sz w:val="18"/>
                <w:szCs w:val="18"/>
                <w:color w:val="0000EE"/>
              </w:rPr>
              <w:t xml:space="preserve"> </w:t>
            </w:r>
            <w:r>
              <w:rPr>
                <w:rFonts w:ascii="Arial" w:cs="Arial" w:eastAsia="Arial" w:hAnsi="Arial"/>
                <w:sz w:val="18"/>
                <w:szCs w:val="18"/>
                <w:color w:val="000000"/>
              </w:rPr>
              <w:t>Company)</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Consolidated Statements of Income (Loss)</w:t>
              </w:r>
            </w:hyperlink>
          </w:p>
        </w:tc>
        <w:tc>
          <w:tcPr>
            <w:tcW w:w="59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2"/>
          </w:tcPr>
          <w:p>
            <w:pPr>
              <w:spacing w:after="0" w:line="196" w:lineRule="exact"/>
              <w:rPr>
                <w:rFonts w:ascii="Arial" w:cs="Arial" w:eastAsia="Arial" w:hAnsi="Arial"/>
                <w:sz w:val="18"/>
                <w:szCs w:val="18"/>
                <w:color w:val="0000EE"/>
                <w:w w:val="95"/>
              </w:rPr>
            </w:pPr>
            <w:hyperlink w:anchor="page190">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Consolidated Statements of Comprehensive (Loss) Income</w:t>
              </w:r>
            </w:hyperlink>
          </w:p>
        </w:tc>
        <w:tc>
          <w:tcPr>
            <w:tcW w:w="632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2"/>
          </w:tcPr>
          <w:p>
            <w:pPr>
              <w:spacing w:after="0" w:line="196" w:lineRule="exact"/>
              <w:rPr>
                <w:rFonts w:ascii="Arial" w:cs="Arial" w:eastAsia="Arial" w:hAnsi="Arial"/>
                <w:sz w:val="18"/>
                <w:szCs w:val="18"/>
                <w:color w:val="0000EE"/>
                <w:w w:val="95"/>
              </w:rPr>
            </w:pPr>
            <w:hyperlink w:anchor="page191">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92">
              <w:r>
                <w:rPr>
                  <w:rFonts w:ascii="Arial" w:cs="Arial" w:eastAsia="Arial" w:hAnsi="Arial"/>
                  <w:sz w:val="18"/>
                  <w:szCs w:val="18"/>
                  <w:color w:val="0000EE"/>
                  <w:w w:val="90"/>
                </w:rPr>
                <w:t>Consolidated Statements of Changes in Members’ Equity</w:t>
              </w:r>
            </w:hyperlink>
          </w:p>
        </w:tc>
        <w:tc>
          <w:tcPr>
            <w:tcW w:w="642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2"/>
          </w:tcPr>
          <w:p>
            <w:pPr>
              <w:spacing w:after="0" w:line="196" w:lineRule="exact"/>
              <w:rPr>
                <w:rFonts w:ascii="Arial" w:cs="Arial" w:eastAsia="Arial" w:hAnsi="Arial"/>
                <w:sz w:val="18"/>
                <w:szCs w:val="18"/>
                <w:color w:val="0000EE"/>
                <w:w w:val="95"/>
              </w:rPr>
            </w:pPr>
            <w:hyperlink w:anchor="page192">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Cash Flows</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1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2"/>
          </w:tcPr>
          <w:p>
            <w:pPr>
              <w:spacing w:after="0" w:line="196" w:lineRule="exact"/>
              <w:rPr>
                <w:rFonts w:ascii="Arial" w:cs="Arial" w:eastAsia="Arial" w:hAnsi="Arial"/>
                <w:sz w:val="18"/>
                <w:szCs w:val="18"/>
                <w:color w:val="0000EE"/>
                <w:w w:val="95"/>
              </w:rPr>
            </w:pPr>
            <w:hyperlink w:anchor="page193">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Notes to the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gridSpan w:val="2"/>
          </w:tcPr>
          <w:p>
            <w:pPr>
              <w:jc w:val="center"/>
              <w:ind w:right="420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Definitive Healthcare Corp.</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Sheet as of May 24, 2021 and Report of Independent Registered Public Accounting Firm</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139"/>
          </w:cols>
          <w:pgMar w:left="320" w:top="459" w:right="1440"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4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Definitive Healthcare Corp.</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assessing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560" w:type="dxa"/>
            <w:vAlign w:val="bottom"/>
          </w:tcPr>
          <w:p>
            <w:pPr>
              <w:jc w:val="center"/>
              <w:ind w:left="2350"/>
              <w:spacing w:after="0"/>
              <w:rPr>
                <w:sz w:val="20"/>
                <w:szCs w:val="20"/>
                <w:color w:val="auto"/>
              </w:rPr>
            </w:pPr>
            <w:r>
              <w:rPr>
                <w:rFonts w:ascii="Arial" w:cs="Arial" w:eastAsia="Arial" w:hAnsi="Arial"/>
                <w:sz w:val="18"/>
                <w:szCs w:val="18"/>
                <w:b w:val="1"/>
                <w:bCs w:val="1"/>
                <w:color w:val="auto"/>
              </w:rPr>
              <w:t>DEFINITIVE HEALTHCARE CORP.</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BALANCE SHEET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350"/>
              <w:spacing w:after="0"/>
              <w:rPr>
                <w:sz w:val="20"/>
                <w:szCs w:val="20"/>
                <w:color w:val="auto"/>
              </w:rPr>
            </w:pPr>
            <w:r>
              <w:rPr>
                <w:rFonts w:ascii="Arial" w:cs="Arial" w:eastAsia="Arial" w:hAnsi="Arial"/>
                <w:sz w:val="18"/>
                <w:szCs w:val="18"/>
                <w:i w:val="1"/>
                <w:iCs w:val="1"/>
                <w:color w:val="auto"/>
                <w:w w:val="93"/>
              </w:rPr>
              <w:t>(amounts in dollars)</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May 24, 2021</w:t>
            </w:r>
          </w:p>
        </w:tc>
        <w:tc>
          <w:tcPr>
            <w:tcW w:w="0" w:type="dxa"/>
            <w:vAlign w:val="bottom"/>
          </w:tcPr>
          <w:p>
            <w:pPr>
              <w:spacing w:after="0"/>
              <w:rPr>
                <w:sz w:val="1"/>
                <w:szCs w:val="1"/>
                <w:color w:val="auto"/>
              </w:rPr>
            </w:pPr>
          </w:p>
        </w:tc>
      </w:tr>
      <w:tr>
        <w:trPr>
          <w:trHeight w:val="196"/>
        </w:trPr>
        <w:tc>
          <w:tcPr>
            <w:tcW w:w="8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Cash</w:t>
            </w:r>
          </w:p>
        </w:tc>
        <w:tc>
          <w:tcPr>
            <w:tcW w:w="17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par value $0.01 per share, 100 shares authorized, 1 issued and outstanding</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Additional paid in capital</w:t>
            </w:r>
          </w:p>
        </w:tc>
        <w:tc>
          <w:tcPr>
            <w:tcW w:w="15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financial statement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w:t>
      </w:r>
    </w:p>
    <w:p>
      <w:pPr>
        <w:spacing w:after="0" w:line="238"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8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The Corporation will be the managing member of AIDH TopCo, LLC, and will operate and control all of the businesses and affairs of AIDH TopCo, LLC and, through AIDH TopCo, LLC and its subsidiaries, continue to conduct the business now conducted by these entities.</w:t>
      </w:r>
    </w:p>
    <w:p>
      <w:pPr>
        <w:spacing w:after="0" w:line="295" w:lineRule="exact"/>
        <w:rPr>
          <w:sz w:val="20"/>
          <w:szCs w:val="20"/>
          <w:color w:val="auto"/>
        </w:rPr>
      </w:pPr>
    </w:p>
    <w:p>
      <w:pPr>
        <w:ind w:left="120" w:right="7280" w:hanging="4"/>
        <w:spacing w:after="0" w:line="375" w:lineRule="auto"/>
        <w:tabs>
          <w:tab w:leader="none" w:pos="552"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Accounting</w:t>
      </w:r>
    </w:p>
    <w:p>
      <w:pPr>
        <w:spacing w:after="0" w:line="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32"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319"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Corporation has evaluated subsequent events through May 28, 2021, the date which the financial statement was issued, and did not identify any additional matters that require disclosure.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AIDH TopCo, LLC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320" w:top="459" w:right="5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AIDH Topco,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number of units)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Successor Company</w:t>
            </w:r>
          </w:p>
        </w:tc>
      </w:tr>
      <w:tr>
        <w:trPr>
          <w:trHeight w:val="119"/>
        </w:trPr>
        <w:tc>
          <w:tcPr>
            <w:tcW w:w="880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8,618</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25,021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36,107</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3,248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5,952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2,116</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410,237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446,381</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1,261,444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1,233,173</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1,745,359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1,721,154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17,321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10,348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distribution payable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61,060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45,977</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term loan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r>
      <w:tr>
        <w:trPr>
          <w:trHeight w:val="224"/>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69,917</w:t>
            </w:r>
          </w:p>
        </w:tc>
        <w:tc>
          <w:tcPr>
            <w:tcW w:w="120" w:type="dxa"/>
            <w:vAlign w:val="bottom"/>
          </w:tcPr>
          <w:p>
            <w:pPr>
              <w:spacing w:after="0"/>
              <w:rPr>
                <w:sz w:val="19"/>
                <w:szCs w:val="19"/>
                <w:color w:val="auto"/>
              </w:rPr>
            </w:pPr>
          </w:p>
        </w:tc>
      </w:tr>
      <w:tr>
        <w:trPr>
          <w:trHeight w:val="107"/>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net of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434,849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549,796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504,914</w:t>
            </w:r>
          </w:p>
        </w:tc>
      </w:tr>
      <w:tr>
        <w:trPr>
          <w:trHeight w:val="283"/>
        </w:trPr>
        <w:tc>
          <w:tcPr>
            <w:tcW w:w="88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w w:val="93"/>
              </w:rPr>
              <w:t>Class A units, 130,245,990 and 127,125,435 units authorized, issued and outstanding at December 31, 2020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2019, respectively</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1,303,058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1,271,254</w:t>
            </w: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Class B units, 8,088,877 units authorized at December 31, 2020 and 2019; 3,720,063 and 3,799,364 units issued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at December 31, 2020 and 2019, respectively; and 474,920 and 0 units outstanding at December 31, 2020 and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4"/>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2019, respectively</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(109,855)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(55,758)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members’ capital</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1,195,563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1,216,240</w:t>
            </w:r>
          </w:p>
        </w:tc>
        <w:tc>
          <w:tcPr>
            <w:tcW w:w="120" w:type="dxa"/>
            <w:vAlign w:val="bottom"/>
          </w:tcPr>
          <w:p>
            <w:pPr>
              <w:spacing w:after="0"/>
              <w:rPr>
                <w:sz w:val="20"/>
                <w:szCs w:val="20"/>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members’ capital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1,745,359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1,721,154</w:t>
            </w: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unit and per unit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gridSpan w:val="7"/>
            <w:vMerge w:val="restart"/>
          </w:tcPr>
          <w:p>
            <w:pPr>
              <w:jc w:val="right"/>
              <w:ind w:right="880"/>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5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7"/>
            <w:vMerge w:val="continue"/>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7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300" w:type="dxa"/>
            <w:vAlign w:val="bottom"/>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July 16, 2019 to</w:t>
            </w:r>
          </w:p>
        </w:tc>
        <w:tc>
          <w:tcPr>
            <w:tcW w:w="7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left w:val="single" w:sz="8" w:color="auto"/>
            </w:tcBorders>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2019 to July 15,</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7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30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 of revenue: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amortization shown below</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4,668</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8,614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26,763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10,814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3,484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6,365</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40,197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22,459</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14,703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57,825</w:t>
            </w:r>
          </w:p>
        </w:tc>
        <w:tc>
          <w:tcPr>
            <w:tcW w:w="300" w:type="dxa"/>
            <w:vAlign w:val="bottom"/>
          </w:tcPr>
          <w:p>
            <w:pPr>
              <w:spacing w:after="0"/>
              <w:rPr>
                <w:sz w:val="20"/>
                <w:szCs w:val="20"/>
                <w:color w:val="auto"/>
              </w:rPr>
            </w:pPr>
          </w:p>
        </w:tc>
        <w:tc>
          <w:tcPr>
            <w:tcW w:w="7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income from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(31,062)</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(36,490)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080"/>
              <w:spacing w:after="0"/>
              <w:rPr>
                <w:sz w:val="20"/>
                <w:szCs w:val="20"/>
                <w:color w:val="auto"/>
              </w:rPr>
            </w:pPr>
            <w:r>
              <w:rPr>
                <w:rFonts w:ascii="Arial" w:cs="Arial" w:eastAsia="Arial" w:hAnsi="Arial"/>
                <w:sz w:val="18"/>
                <w:szCs w:val="18"/>
                <w:color w:val="auto"/>
              </w:rPr>
              <w:t>Net (loss) income</w:t>
            </w:r>
          </w:p>
        </w:tc>
        <w:tc>
          <w:tcPr>
            <w:tcW w:w="104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(51,157)</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(49,266)</w:t>
            </w: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12,868</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127,682,376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126,794,329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20" w:type="dxa"/>
            <w:vAlign w:val="bottom"/>
            <w:gridSpan w:val="6"/>
            <w:vMerge w:val="restart"/>
          </w:tcPr>
          <w:p>
            <w:pPr>
              <w:jc w:val="right"/>
              <w:ind w:right="398"/>
              <w:spacing w:after="0"/>
              <w:rPr>
                <w:sz w:val="20"/>
                <w:szCs w:val="20"/>
                <w:color w:val="auto"/>
              </w:rPr>
            </w:pPr>
            <w:r>
              <w:rPr>
                <w:rFonts w:ascii="Arial" w:cs="Arial" w:eastAsia="Arial" w:hAnsi="Arial"/>
                <w:sz w:val="14"/>
                <w:szCs w:val="14"/>
                <w:b w:val="1"/>
                <w:bCs w:val="1"/>
                <w:color w:val="auto"/>
              </w:rPr>
              <w:t>Successor Company</w:t>
            </w:r>
          </w:p>
        </w:tc>
        <w:tc>
          <w:tcPr>
            <w:tcW w:w="3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Period from</w:t>
            </w:r>
          </w:p>
        </w:tc>
        <w:tc>
          <w:tcPr>
            <w:tcW w:w="320" w:type="dxa"/>
            <w:vAlign w:val="bottom"/>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8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left w:val="single" w:sz="8" w:color="auto"/>
            </w:tcBorders>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to July 15, 2019</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(51,157)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720"/>
              <w:spacing w:after="0"/>
              <w:rPr>
                <w:sz w:val="20"/>
                <w:szCs w:val="20"/>
                <w:color w:val="auto"/>
              </w:rPr>
            </w:pPr>
            <w:r>
              <w:rPr>
                <w:rFonts w:ascii="Arial" w:cs="Arial" w:eastAsia="Arial" w:hAnsi="Arial"/>
                <w:sz w:val="18"/>
                <w:szCs w:val="18"/>
                <w:color w:val="auto"/>
              </w:rPr>
              <w:t>Comprehensive (loss) income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(51,288</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(49,266)</w:t>
            </w:r>
          </w:p>
        </w:tc>
        <w:tc>
          <w:tcPr>
            <w:tcW w:w="320" w:type="dxa"/>
            <w:vAlign w:val="bottom"/>
          </w:tcPr>
          <w:p>
            <w:pPr>
              <w:spacing w:after="0"/>
              <w:rPr>
                <w:sz w:val="19"/>
                <w:szCs w:val="19"/>
                <w:color w:val="auto"/>
              </w:rPr>
            </w:pPr>
          </w:p>
        </w:tc>
        <w:tc>
          <w:tcPr>
            <w:tcW w:w="80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number of units)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Legacy</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Legacy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Class A</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Units</w:t>
            </w:r>
          </w:p>
        </w:tc>
        <w:tc>
          <w:tcPr>
            <w:tcW w:w="720" w:type="dxa"/>
            <w:vAlign w:val="bottom"/>
            <w:gridSpan w:val="3"/>
            <w:vMerge w:val="continue"/>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12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2018</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(Predecessor)</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77,500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88,716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(42,598)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38,925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12,868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Adoption of ASC</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606 (See Note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Unit-based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w w:val="94"/>
              </w:rPr>
              <w:t>Vesting of Class B</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Units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180,137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July 15, 2019</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(Predecessor)</w:t>
            </w: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7,750,000</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77,500</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268,853</w:t>
            </w:r>
          </w:p>
        </w:tc>
        <w:tc>
          <w:tcPr>
            <w:tcW w:w="2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(31,844)</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51,793</w:t>
            </w:r>
          </w:p>
        </w:tc>
        <w:tc>
          <w:tcPr>
            <w:tcW w:w="2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6"/>
                <w:szCs w:val="16"/>
                <w:color w:val="auto"/>
              </w:rPr>
              <w:t>Recapitalization</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(See Note 12)</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(7,750,000)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(77,500)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(268,853)</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31,844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(51,793)</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(97,449)</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Capital</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contribution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(See Note 3 and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126,725,743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1,267,257</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1,267,257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160"/>
              <w:spacing w:after="0"/>
              <w:rPr>
                <w:sz w:val="20"/>
                <w:szCs w:val="20"/>
                <w:color w:val="auto"/>
              </w:rPr>
            </w:pPr>
            <w:r>
              <w:rPr>
                <w:rFonts w:ascii="Arial" w:cs="Arial" w:eastAsia="Arial" w:hAnsi="Arial"/>
                <w:sz w:val="16"/>
                <w:szCs w:val="16"/>
                <w:color w:val="auto"/>
              </w:rPr>
              <w:t>July 16, 2019</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126,725,743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1,267,257</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1,267,257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(49,266)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(49,266)</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Distribution to</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(6,492)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(6,492)</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Unit-based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399,692</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3,997</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2019</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127,125,435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1,271,254</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(55,758)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1,216,240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6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(51,157)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(51,157)</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(2,940)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3,120,555</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31,804</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w w:val="94"/>
              </w:rPr>
              <w:t>Vesting of Class B</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Units and unit-</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1,747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Comprehensive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loss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(131)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2020</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130,245,990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1,303,058</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2,491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(109,855)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(131)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1,195,563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(amounts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Successor Company</w:t>
            </w:r>
          </w:p>
        </w:tc>
        <w:tc>
          <w:tcPr>
            <w:tcW w:w="220" w:type="dxa"/>
            <w:vAlign w:val="bottom"/>
            <w:vMerge w:val="restart"/>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4"/>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12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left w:val="single" w:sz="8" w:color="auto"/>
            </w:tcBorders>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July 15, 2019</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(used in)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(51,157)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(49,266)</w:t>
            </w:r>
          </w:p>
        </w:tc>
        <w:tc>
          <w:tcPr>
            <w:tcW w:w="60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(loss) income to net cash provided by (used in) operating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58,429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30,617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Unit-based compensation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Noncash paid in kind interest expense</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3,041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Changes in fair value of contingent consideration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Provision for doubtful 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contract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7,396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(1,108,197)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(23,862)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(1,109,368)</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Term Loan</w:t>
            </w: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450,000</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Term Loan and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Repayments on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Members distributions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(6,492)</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contributions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696,991</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1,125,119</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8,618</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19,359</w:t>
            </w: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22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340"/>
              <w:spacing w:after="0"/>
              <w:rPr>
                <w:sz w:val="20"/>
                <w:szCs w:val="20"/>
                <w:color w:val="auto"/>
              </w:rPr>
            </w:pPr>
            <w:r>
              <w:rPr>
                <w:rFonts w:ascii="Arial" w:cs="Arial" w:eastAsia="Arial" w:hAnsi="Arial"/>
                <w:sz w:val="18"/>
                <w:szCs w:val="18"/>
                <w:color w:val="auto"/>
              </w:rPr>
              <w:t>F-12</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5"/>
            <w:vMerge w:val="restart"/>
          </w:tcPr>
          <w:p>
            <w:pPr>
              <w:jc w:val="right"/>
              <w:ind w:right="394"/>
              <w:spacing w:after="0"/>
              <w:rPr>
                <w:sz w:val="20"/>
                <w:szCs w:val="20"/>
                <w:color w:val="auto"/>
              </w:rPr>
            </w:pPr>
            <w:r>
              <w:rPr>
                <w:rFonts w:ascii="Arial" w:cs="Arial" w:eastAsia="Arial" w:hAnsi="Arial"/>
                <w:sz w:val="14"/>
                <w:szCs w:val="14"/>
                <w:b w:val="1"/>
                <w:bCs w:val="1"/>
                <w:color w:val="auto"/>
              </w:rPr>
              <w:t>Successor Company</w:t>
            </w:r>
          </w:p>
        </w:tc>
        <w:tc>
          <w:tcPr>
            <w:tcW w:w="22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8"/>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16, 2019 to</w:t>
            </w:r>
          </w:p>
        </w:tc>
        <w:tc>
          <w:tcPr>
            <w:tcW w:w="5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left w:val="single" w:sz="8" w:color="auto"/>
            </w:tcBorders>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January 1, 2019 to</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for cash flow information:</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Cash paid during the year for: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9,939</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628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disclosures of investing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Accrued purchases of data</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3,389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investing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assets acquired, net of cash acquired</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1,689,395</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(574,263)</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Contingent consideration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Arial" w:cs="Arial" w:eastAsia="Arial" w:hAnsi="Arial"/>
                <w:sz w:val="18"/>
                <w:szCs w:val="18"/>
                <w:color w:val="auto"/>
              </w:rPr>
              <w:t>Consideration paid to former members included in accrued expenses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(6,935)</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paid</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22,467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1,108,197</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7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Company’s headquarters are located in Framingham, MA, with operations in three offices throughout the United States and one office in Sweden.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December 2, 2019, the Company acquired all of the outstanding common and preferred stock of Healthcare Sales Enablement, Inc. (“HSE”).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21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315" w:lineRule="exact"/>
        <w:rPr>
          <w:sz w:val="20"/>
          <w:szCs w:val="20"/>
          <w:color w:val="auto"/>
        </w:rPr>
      </w:pPr>
    </w:p>
    <w:p>
      <w:pPr>
        <w:ind w:left="560" w:right="7040" w:hanging="444"/>
        <w:spacing w:after="0" w:line="378" w:lineRule="auto"/>
        <w:tabs>
          <w:tab w:leader="none" w:pos="55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120" w:right="120" w:firstLine="440"/>
        <w:spacing w:after="0" w:line="279"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0960"/>
          </w:cols>
          <w:pgMar w:left="320" w:top="459" w:right="6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recognizes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84"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9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8" w:lineRule="exact"/>
        <w:rPr>
          <w:sz w:val="20"/>
          <w:szCs w:val="20"/>
          <w:color w:val="auto"/>
        </w:rPr>
      </w:pPr>
    </w:p>
    <w:p>
      <w:pPr>
        <w:ind w:left="560" w:right="2340"/>
        <w:spacing w:after="0" w:line="258" w:lineRule="auto"/>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 Level 2 - Other inputs that are directly or indirectly observable in the marketplace</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 Unobservable inputs that are supported by little or no market activity, including the Company’s own assumptions in determining fair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short-term, highly liquid investments with an original maturity of three months or less to be cash and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92"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17"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Furniture and equipment</w:t>
      </w:r>
    </w:p>
    <w:p>
      <w:pPr>
        <w:spacing w:after="0" w:line="4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Computers and software</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lease term</w:t>
      </w:r>
    </w:p>
    <w:p>
      <w:pPr>
        <w:spacing w:after="0" w:line="200" w:lineRule="exact"/>
        <w:rPr>
          <w:sz w:val="20"/>
          <w:szCs w:val="20"/>
          <w:color w:val="auto"/>
        </w:rPr>
      </w:pPr>
    </w:p>
    <w:p>
      <w:pPr>
        <w:sectPr>
          <w:pgSz w:w="11900" w:h="16838" w:orient="portrait"/>
          <w:cols w:equalWidth="0" w:num="2">
            <w:col w:w="4980" w:space="720"/>
            <w:col w:w="5420"/>
          </w:cols>
          <w:pgMar w:left="320" w:top="459" w:right="459" w:bottom="1440" w:gutter="0" w:footer="0" w:header="0"/>
          <w:type w:val="continuous"/>
        </w:sectPr>
      </w:pPr>
    </w:p>
    <w:p>
      <w:pPr>
        <w:spacing w:after="0" w:line="3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expenses advertising costs as incurred in accordance with ASC 720—</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The Company accounts for its software development costs in accordance with the guidance set forth in ASC 350-40,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 Internal Use Software. </w:t>
      </w:r>
      <w:r>
        <w:rPr>
          <w:rFonts w:ascii="Arial" w:cs="Arial" w:eastAsia="Arial" w:hAnsi="Arial"/>
          <w:sz w:val="18"/>
          <w:szCs w:val="18"/>
          <w:color w:val="auto"/>
        </w:rPr>
        <w:t>The Company capitalizes costs to develop software for internal use incurred during the application development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The Company accounts for business combinations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tcPr>
          <w:p>
            <w:pPr>
              <w:ind w:left="1880"/>
              <w:spacing w:after="0"/>
              <w:rPr>
                <w:sz w:val="20"/>
                <w:szCs w:val="20"/>
                <w:color w:val="auto"/>
              </w:rPr>
            </w:pPr>
            <w:r>
              <w:rPr>
                <w:rFonts w:ascii="Arial" w:cs="Arial" w:eastAsia="Arial" w:hAnsi="Arial"/>
                <w:sz w:val="18"/>
                <w:szCs w:val="18"/>
                <w:color w:val="auto"/>
                <w:w w:val="89"/>
              </w:rPr>
              <w:t>14</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15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Technology</w:t>
            </w:r>
          </w:p>
        </w:tc>
        <w:tc>
          <w:tcPr>
            <w:tcW w:w="2840" w:type="dxa"/>
            <w:vAlign w:val="bottom"/>
            <w:gridSpan w:val="2"/>
          </w:tcPr>
          <w:p>
            <w:pPr>
              <w:ind w:left="1880"/>
              <w:spacing w:after="0"/>
              <w:rPr>
                <w:sz w:val="20"/>
                <w:szCs w:val="20"/>
                <w:color w:val="auto"/>
              </w:rPr>
            </w:pPr>
            <w:r>
              <w:rPr>
                <w:rFonts w:ascii="Arial" w:cs="Arial" w:eastAsia="Arial" w:hAnsi="Arial"/>
                <w:sz w:val="18"/>
                <w:szCs w:val="18"/>
                <w:color w:val="auto"/>
              </w:rPr>
              <w:t>7 – 8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Tradenames / trademark</w:t>
            </w:r>
          </w:p>
        </w:tc>
        <w:tc>
          <w:tcPr>
            <w:tcW w:w="2080" w:type="dxa"/>
            <w:vAlign w:val="bottom"/>
          </w:tcPr>
          <w:p>
            <w:pPr>
              <w:ind w:left="1880"/>
              <w:spacing w:after="0"/>
              <w:rPr>
                <w:sz w:val="20"/>
                <w:szCs w:val="20"/>
                <w:color w:val="auto"/>
              </w:rPr>
            </w:pPr>
            <w:r>
              <w:rPr>
                <w:rFonts w:ascii="Arial" w:cs="Arial" w:eastAsia="Arial" w:hAnsi="Arial"/>
                <w:sz w:val="18"/>
                <w:szCs w:val="18"/>
                <w:color w:val="auto"/>
                <w:w w:val="89"/>
              </w:rPr>
              <w:t>17</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19 years</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Data</w:t>
            </w:r>
          </w:p>
        </w:tc>
        <w:tc>
          <w:tcPr>
            <w:tcW w:w="2840" w:type="dxa"/>
            <w:vAlign w:val="bottom"/>
            <w:gridSpan w:val="2"/>
          </w:tcPr>
          <w:p>
            <w:pPr>
              <w:ind w:left="1880"/>
              <w:spacing w:after="0"/>
              <w:rPr>
                <w:sz w:val="20"/>
                <w:szCs w:val="20"/>
                <w:color w:val="auto"/>
              </w:rPr>
            </w:pPr>
            <w:r>
              <w:rPr>
                <w:rFonts w:ascii="Arial" w:cs="Arial" w:eastAsia="Arial" w:hAnsi="Arial"/>
                <w:sz w:val="18"/>
                <w:szCs w:val="18"/>
                <w:color w:val="auto"/>
              </w:rPr>
              <w:t>1– 4 years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Tax</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 Income Taxes</w:t>
      </w:r>
      <w:r>
        <w:rPr>
          <w:rFonts w:ascii="Arial" w:cs="Arial" w:eastAsia="Arial" w:hAnsi="Arial"/>
          <w:sz w:val="17"/>
          <w:szCs w:val="17"/>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Basic net income or loss per unit is computed by dividing the net income or loss by the weighted-average number of common units of the Company outstanding during the period. Diluted net income or loss per unit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8"/>
          <w:szCs w:val="18"/>
          <w:i w:val="1"/>
          <w:iCs w:val="1"/>
          <w:color w:val="auto"/>
        </w:rPr>
        <w:t>Net Loss Per Unit</w:t>
      </w:r>
      <w:r>
        <w:rPr>
          <w:rFonts w:ascii="Arial" w:cs="Arial" w:eastAsia="Arial" w:hAnsi="Arial"/>
          <w:sz w:val="18"/>
          <w:szCs w:val="18"/>
          <w:color w:val="auto"/>
        </w:rPr>
        <w:t xml:space="preserve"> for additional information on dilutive securities.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Company accounts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(loss) income in the same manner in which the award recipient’s salary and related costs are classified.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May 2014, the FASB issued ASC 606—</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6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 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cumulative effect of applying the new guidance was recorded as an adjustment to members’ capital as of the adoption date.</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a result of applying the modified retrospective method to adopt the new revenue guidance, the following adjustments were made to the consolidated balance sheet as of January 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4"/>
                <w:szCs w:val="1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4"/>
                <w:szCs w:val="14"/>
                <w:color w:val="auto"/>
                <w:w w:val="92"/>
              </w:rPr>
              <w:t>ASC 606</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As Adjusted</w:t>
            </w:r>
          </w:p>
        </w:tc>
      </w:tr>
      <w:tr>
        <w:trPr>
          <w:trHeight w:val="167"/>
        </w:trPr>
        <w:tc>
          <w:tcPr>
            <w:tcW w:w="666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color w:val="auto"/>
              </w:rPr>
              <w:t>December 31, 2018</w:t>
            </w:r>
          </w:p>
        </w:tc>
        <w:tc>
          <w:tcPr>
            <w:tcW w:w="15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980" w:type="dxa"/>
            <w:vAlign w:val="bottom"/>
            <w:gridSpan w:val="3"/>
          </w:tcPr>
          <w:p>
            <w:pPr>
              <w:spacing w:after="0"/>
              <w:rPr>
                <w:sz w:val="20"/>
                <w:szCs w:val="20"/>
                <w:color w:val="auto"/>
              </w:rPr>
            </w:pPr>
            <w:r>
              <w:rPr>
                <w:rFonts w:ascii="Arial" w:cs="Arial" w:eastAsia="Arial" w:hAnsi="Arial"/>
                <w:sz w:val="14"/>
                <w:szCs w:val="14"/>
                <w:color w:val="auto"/>
                <w:w w:val="95"/>
              </w:rPr>
              <w:t>January 1, 2019</w:t>
            </w: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Balance Sheet:</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15,299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contract costs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35,176</w:t>
            </w:r>
          </w:p>
        </w:tc>
        <w:tc>
          <w:tcPr>
            <w:tcW w:w="1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36,889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 net of current portion</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w:t>
            </w:r>
          </w:p>
        </w:tc>
      </w:tr>
      <w:tr>
        <w:trPr>
          <w:trHeight w:val="223"/>
        </w:trPr>
        <w:tc>
          <w:tcPr>
            <w:tcW w:w="66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87,061</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91,747</w:t>
            </w:r>
          </w:p>
        </w:tc>
        <w:tc>
          <w:tcPr>
            <w:tcW w:w="6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32,187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31,458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35,947</w:t>
            </w:r>
          </w:p>
        </w:tc>
      </w:tr>
      <w:tr>
        <w:trPr>
          <w:trHeight w:val="27"/>
        </w:trPr>
        <w:tc>
          <w:tcPr>
            <w:tcW w:w="6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35,947</w:t>
            </w:r>
          </w:p>
        </w:tc>
      </w:tr>
      <w:tr>
        <w:trPr>
          <w:trHeight w:val="223"/>
        </w:trPr>
        <w:tc>
          <w:tcPr>
            <w:tcW w:w="6660" w:type="dxa"/>
            <w:vAlign w:val="bottom"/>
          </w:tcPr>
          <w:p>
            <w:pPr>
              <w:ind w:left="360"/>
              <w:spacing w:after="0"/>
              <w:rPr>
                <w:sz w:val="20"/>
                <w:szCs w:val="20"/>
                <w:color w:val="auto"/>
              </w:rPr>
            </w:pPr>
            <w:r>
              <w:rPr>
                <w:rFonts w:ascii="Arial" w:cs="Arial" w:eastAsia="Arial" w:hAnsi="Arial"/>
                <w:sz w:val="18"/>
                <w:szCs w:val="18"/>
                <w:color w:val="auto"/>
              </w:rPr>
              <w:t>Members’ capital</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50,385</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55,800</w:t>
            </w:r>
          </w:p>
        </w:tc>
        <w:tc>
          <w:tcPr>
            <w:tcW w:w="60" w:type="dxa"/>
            <w:vAlign w:val="bottom"/>
          </w:tcPr>
          <w:p>
            <w:pPr>
              <w:spacing w:after="0"/>
              <w:rPr>
                <w:sz w:val="19"/>
                <w:szCs w:val="19"/>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members’ capital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87,061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91,747</w:t>
            </w:r>
          </w:p>
        </w:tc>
      </w:tr>
      <w:tr>
        <w:trPr>
          <w:trHeight w:val="20"/>
        </w:trPr>
        <w:tc>
          <w:tcPr>
            <w:tcW w:w="6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8"/>
          <w:szCs w:val="18"/>
          <w:i w:val="1"/>
          <w:iCs w:val="1"/>
          <w:color w:val="auto"/>
        </w:rPr>
        <w:t>,</w:t>
      </w:r>
      <w:r>
        <w:rPr>
          <w:rFonts w:ascii="Arial" w:cs="Arial" w:eastAsia="Arial" w:hAnsi="Arial"/>
          <w:sz w:val="18"/>
          <w:szCs w:val="18"/>
          <w:color w:val="auto"/>
        </w:rPr>
        <w:t xml:space="preserve"> the previous revenue recognition standard, been in effect:</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As Reported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As Adjusted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Balance Sheet:</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25,021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(1,019)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 of current portion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1,721,154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1,718,019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69,917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504,914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capital (deficit)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1,216,240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1,212,115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members’ capital (deficit)</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1,721,154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1,718,019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Predecessor Company</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ind w:left="160"/>
              <w:spacing w:after="0" w:line="123" w:lineRule="exact"/>
              <w:rPr>
                <w:sz w:val="20"/>
                <w:szCs w:val="20"/>
                <w:color w:val="auto"/>
              </w:rPr>
            </w:pPr>
            <w:r>
              <w:rPr>
                <w:rFonts w:ascii="Arial" w:cs="Arial" w:eastAsia="Arial" w:hAnsi="Arial"/>
                <w:sz w:val="14"/>
                <w:szCs w:val="14"/>
                <w:color w:val="auto"/>
              </w:rPr>
              <w:t>As Reported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212"/>
              <w:spacing w:after="0" w:line="123" w:lineRule="exact"/>
              <w:rPr>
                <w:sz w:val="20"/>
                <w:szCs w:val="20"/>
                <w:color w:val="auto"/>
              </w:rPr>
            </w:pPr>
            <w:r>
              <w:rPr>
                <w:rFonts w:ascii="Arial" w:cs="Arial" w:eastAsia="Arial" w:hAnsi="Arial"/>
                <w:sz w:val="14"/>
                <w:szCs w:val="14"/>
                <w:color w:val="auto"/>
              </w:rPr>
              <w:t>As Adjusted</w:t>
            </w:r>
          </w:p>
        </w:tc>
        <w:tc>
          <w:tcPr>
            <w:tcW w:w="100" w:type="dxa"/>
            <w:vAlign w:val="bottom"/>
          </w:tcPr>
          <w:p>
            <w:pPr>
              <w:spacing w:after="0"/>
              <w:rPr>
                <w:sz w:val="10"/>
                <w:szCs w:val="10"/>
                <w:color w:val="auto"/>
              </w:rPr>
            </w:pPr>
          </w:p>
        </w:tc>
      </w:tr>
      <w:tr>
        <w:trPr>
          <w:trHeight w:val="148"/>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Period from January 1,</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w w:val="98"/>
              </w:rPr>
              <w:t>Period from January 1,</w:t>
            </w:r>
          </w:p>
        </w:tc>
      </w:tr>
      <w:tr>
        <w:trPr>
          <w:trHeight w:val="181"/>
        </w:trPr>
        <w:tc>
          <w:tcPr>
            <w:tcW w:w="3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c>
          <w:tcPr>
            <w:tcW w:w="6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45,458</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(79)</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45,379</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cost of revenue</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4"/>
              </w:rPr>
              <w:t>5,328</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40,130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16,039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61"/>
              <w:spacing w:after="0"/>
              <w:rPr>
                <w:sz w:val="20"/>
                <w:szCs w:val="20"/>
                <w:color w:val="auto"/>
              </w:rPr>
            </w:pPr>
            <w:r>
              <w:rPr>
                <w:rFonts w:ascii="Arial" w:cs="Arial" w:eastAsia="Arial" w:hAnsi="Arial"/>
                <w:sz w:val="18"/>
                <w:szCs w:val="18"/>
                <w:color w:val="auto"/>
              </w:rPr>
              <w:t>1,416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17,455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27,097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1,416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28,513</w:t>
            </w: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color w:val="auto"/>
              </w:rPr>
              <w:t>Income (loss) from operations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83"/>
              </w:rPr>
              <w:t>13,033</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(1,495)</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(165)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23"/>
        </w:trPr>
        <w:tc>
          <w:tcPr>
            <w:tcW w:w="364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3"/>
              </w:rPr>
              <w:t>12,868</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F-22</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Successor Company</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540"/>
              <w:spacing w:after="0" w:line="123" w:lineRule="exact"/>
              <w:rPr>
                <w:sz w:val="20"/>
                <w:szCs w:val="20"/>
                <w:color w:val="auto"/>
              </w:rPr>
            </w:pPr>
            <w:r>
              <w:rPr>
                <w:rFonts w:ascii="Arial" w:cs="Arial" w:eastAsia="Arial" w:hAnsi="Arial"/>
                <w:sz w:val="14"/>
                <w:szCs w:val="14"/>
                <w:color w:val="auto"/>
                <w:w w:val="92"/>
              </w:rPr>
              <w:t>As Reported</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94"/>
              <w:spacing w:after="0" w:line="123" w:lineRule="exact"/>
              <w:rPr>
                <w:sz w:val="20"/>
                <w:szCs w:val="20"/>
                <w:color w:val="auto"/>
              </w:rPr>
            </w:pPr>
            <w:r>
              <w:rPr>
                <w:rFonts w:ascii="Arial" w:cs="Arial" w:eastAsia="Arial" w:hAnsi="Arial"/>
                <w:sz w:val="14"/>
                <w:szCs w:val="14"/>
                <w:color w:val="auto"/>
                <w:w w:val="96"/>
              </w:rPr>
              <w:t>As Adjusted</w:t>
            </w:r>
          </w:p>
        </w:tc>
        <w:tc>
          <w:tcPr>
            <w:tcW w:w="100" w:type="dxa"/>
            <w:vAlign w:val="bottom"/>
          </w:tcPr>
          <w:p>
            <w:pPr>
              <w:spacing w:after="0"/>
              <w:rPr>
                <w:sz w:val="10"/>
                <w:szCs w:val="10"/>
                <w:color w:val="auto"/>
              </w:rPr>
            </w:pPr>
          </w:p>
        </w:tc>
      </w:tr>
      <w:tr>
        <w:trPr>
          <w:trHeight w:val="148"/>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4"/>
              </w:rPr>
              <w:t>Period from July 16,</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Period from July 16,</w:t>
            </w:r>
          </w:p>
        </w:tc>
      </w:tr>
      <w:tr>
        <w:trPr>
          <w:trHeight w:val="148"/>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0"/>
              </w:rPr>
              <w:t>2019 to December 31,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2019 to December 31,</w:t>
            </w:r>
          </w:p>
        </w:tc>
      </w:tr>
      <w:tr>
        <w:trPr>
          <w:trHeight w:val="181"/>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color w:val="auto"/>
                <w:w w:val="89"/>
              </w:rPr>
              <w:t>2019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8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5"/>
                <w:szCs w:val="15"/>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40,045</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1"/>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39,979</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cost of revenue</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26,763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1"/>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10,814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21"/>
              <w:spacing w:after="0"/>
              <w:rPr>
                <w:sz w:val="20"/>
                <w:szCs w:val="20"/>
                <w:color w:val="auto"/>
              </w:rPr>
            </w:pPr>
            <w:r>
              <w:rPr>
                <w:rFonts w:ascii="Arial" w:cs="Arial" w:eastAsia="Arial" w:hAnsi="Arial"/>
                <w:sz w:val="18"/>
                <w:szCs w:val="18"/>
                <w:color w:val="auto"/>
              </w:rPr>
              <w:t>2,885</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13,699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57,825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1"/>
              <w:spacing w:after="0"/>
              <w:rPr>
                <w:sz w:val="20"/>
                <w:szCs w:val="20"/>
                <w:color w:val="auto"/>
              </w:rPr>
            </w:pPr>
            <w:r>
              <w:rPr>
                <w:rFonts w:ascii="Arial" w:cs="Arial" w:eastAsia="Arial" w:hAnsi="Arial"/>
                <w:sz w:val="18"/>
                <w:szCs w:val="18"/>
                <w:color w:val="auto"/>
              </w:rPr>
              <w:t>2,885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60,710</w:t>
            </w: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(2,951)</w:t>
            </w:r>
          </w:p>
        </w:tc>
        <w:tc>
          <w:tcPr>
            <w:tcW w:w="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(18,204)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(18,204)</w:t>
            </w:r>
          </w:p>
        </w:tc>
      </w:tr>
      <w:tr>
        <w:trPr>
          <w:trHeight w:val="223"/>
        </w:trPr>
        <w:tc>
          <w:tcPr>
            <w:tcW w:w="4920" w:type="dxa"/>
            <w:vAlign w:val="bottom"/>
          </w:tcPr>
          <w:p>
            <w:pPr>
              <w:ind w:left="72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(49,266)</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900" w:type="dxa"/>
            <w:vAlign w:val="bottom"/>
          </w:tcPr>
          <w:p>
            <w:pPr>
              <w:jc w:val="right"/>
              <w:ind w:right="7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(52,217)</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January 2017, the FASB issued ASU No. 2017-04</w:t>
      </w:r>
      <w:r>
        <w:rPr>
          <w:rFonts w:ascii="Arial" w:cs="Arial" w:eastAsia="Arial" w:hAnsi="Arial"/>
          <w:sz w:val="18"/>
          <w:szCs w:val="18"/>
          <w:i w:val="1"/>
          <w:iCs w:val="1"/>
          <w:color w:val="auto"/>
        </w:rPr>
        <w:t>—Goodwill and Other (Topic 350) – Simplifying the Test for Goodwill Impairment.</w:t>
      </w:r>
      <w:r>
        <w:rPr>
          <w:rFonts w:ascii="Arial" w:cs="Arial" w:eastAsia="Arial" w:hAnsi="Arial"/>
          <w:sz w:val="18"/>
          <w:szCs w:val="18"/>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This standard aligns most of the guidance on share-based payments to nonemployees with share-based payments</w:t>
      </w:r>
    </w:p>
    <w:p>
      <w:pPr>
        <w:ind w:left="120" w:right="100"/>
        <w:spacing w:after="0" w:line="255" w:lineRule="auto"/>
        <w:rPr>
          <w:sz w:val="20"/>
          <w:szCs w:val="20"/>
          <w:color w:val="auto"/>
        </w:rPr>
      </w:pPr>
      <w:r>
        <w:rPr>
          <w:rFonts w:ascii="Arial" w:cs="Arial" w:eastAsia="Arial" w:hAnsi="Arial"/>
          <w:sz w:val="18"/>
          <w:szCs w:val="18"/>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Instruments—Credit Losses (Topic 326)—Measurement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standard is intended to improve financial reporting by requiring earlier recognition of credit losses on financing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8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August 2018, the FASB issued ASU No. 2018-15—</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standard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amendments of ASU No. 2020-04 are effective for companies as of March 12, 2020 through December 31, 2022.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29"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$ 18,307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Equity issuance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$ 46,346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consideration for the acquisition was primarily provided through borrowings under the Company’s credit facility.</w:t>
      </w:r>
    </w:p>
    <w:p>
      <w:pPr>
        <w:spacing w:after="0" w:line="22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performance targets for the contingent consideration is based on the Annual Recurring Revenue (“ARR”), measured as annually contractual recurring revenue for each of the twelve-month periods ending December 31, 2020 and December 31, 2021. Potential payouts range from $0 to</w:t>
      </w:r>
    </w:p>
    <w:p>
      <w:pPr>
        <w:ind w:left="120" w:right="100"/>
        <w:spacing w:after="0" w:line="260" w:lineRule="auto"/>
        <w:rPr>
          <w:sz w:val="20"/>
          <w:szCs w:val="20"/>
          <w:color w:val="auto"/>
        </w:rPr>
      </w:pPr>
      <w:r>
        <w:rPr>
          <w:rFonts w:ascii="Arial" w:cs="Arial" w:eastAsia="Arial" w:hAnsi="Arial"/>
          <w:sz w:val="18"/>
          <w:szCs w:val="18"/>
          <w:color w:val="auto"/>
        </w:rPr>
        <w:t>$5.0 million and $0 to $10 million based on ARR of below $8.5 million to over $9.5 million and below $12.0 million to over $16.0 million for each of the twelve month periods ending December 31, 2020 and 2021, respectively.</w:t>
      </w:r>
    </w:p>
    <w:p>
      <w:pPr>
        <w:spacing w:after="0" w:line="185"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60"/>
          </w:cols>
          <w:pgMar w:left="320" w:top="459"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October 27, 2020</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(2,137)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28,271</w:t>
            </w:r>
          </w:p>
        </w:tc>
        <w:tc>
          <w:tcPr>
            <w:tcW w:w="8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more detail on determination of fair value.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7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income (loss).</w:t>
      </w:r>
    </w:p>
    <w:p>
      <w:pPr>
        <w:spacing w:after="0" w:line="170"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1260"/>
              <w:spacing w:after="0"/>
              <w:rPr>
                <w:sz w:val="20"/>
                <w:szCs w:val="20"/>
                <w:color w:val="auto"/>
              </w:rPr>
            </w:pPr>
            <w:r>
              <w:rPr>
                <w:rFonts w:ascii="Arial" w:cs="Arial" w:eastAsia="Arial" w:hAnsi="Arial"/>
                <w:sz w:val="14"/>
                <w:szCs w:val="14"/>
                <w:color w:val="auto"/>
                <w:w w:val="97"/>
              </w:rPr>
              <w:t>Year Ended</w:t>
            </w: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67"/>
        </w:trPr>
        <w:tc>
          <w:tcPr>
            <w:tcW w:w="4960" w:type="dxa"/>
            <w:vAlign w:val="bottom"/>
          </w:tcPr>
          <w:p>
            <w:pPr>
              <w:spacing w:after="0"/>
              <w:rPr>
                <w:sz w:val="20"/>
                <w:szCs w:val="20"/>
                <w:color w:val="auto"/>
              </w:rPr>
            </w:pPr>
            <w:r>
              <w:rPr>
                <w:rFonts w:ascii="Arial" w:cs="Arial" w:eastAsia="Arial" w:hAnsi="Arial"/>
                <w:sz w:val="14"/>
                <w:szCs w:val="14"/>
                <w:color w:val="auto"/>
              </w:rPr>
              <w:t>(in thousands)</w:t>
            </w:r>
          </w:p>
        </w:tc>
        <w:tc>
          <w:tcPr>
            <w:tcW w:w="2160" w:type="dxa"/>
            <w:vAlign w:val="bottom"/>
            <w:gridSpan w:val="3"/>
          </w:tcPr>
          <w:p>
            <w:pPr>
              <w:spacing w:after="0"/>
              <w:rPr>
                <w:sz w:val="20"/>
                <w:szCs w:val="20"/>
                <w:color w:val="auto"/>
              </w:rPr>
            </w:pPr>
            <w:r>
              <w:rPr>
                <w:rFonts w:ascii="Arial" w:cs="Arial" w:eastAsia="Arial" w:hAnsi="Arial"/>
                <w:sz w:val="14"/>
                <w:szCs w:val="14"/>
                <w:color w:val="auto"/>
              </w:rPr>
              <w:t>December 31, 2020</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2019</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(58,350)</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(97,134)</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unaudited pro forma supplementary data presented in the table above shows the effect of the Monocl and Definitive Holdco Acquisitions, as if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transactions had occurred at the beginning of fiscal year 2019. The pro forma net loss includes adjustments to amortization expense for the valuation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other intangible assets of $0.8 million and $1.2 million and interest expense related to incremental borrowings used to finance the transaction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and $1.2 million for the years ended December 31, 2020 and 2019, respectively. Acquisition expenses of $0.4 million were excluded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 forma net loss for the year ended December 31, 2020 and included in the pro forma net loss for the year-ended December 31, 2019.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unaudited pro forma supplementary data is provided for informational purposes only and should not be construed to be indicative of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results of operations had the acquisition been consummated on the date assumed or of the Company’s results of operations for any future date.</w:t>
      </w:r>
    </w:p>
    <w:p>
      <w:pPr>
        <w:spacing w:after="0" w:line="33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Definitive Holdco (“Definitive Holdco Acquisition”)</w:t>
      </w:r>
    </w:p>
    <w:p>
      <w:pPr>
        <w:spacing w:after="0" w:line="11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84"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For purposes of the Agreement, affiliated legal entities of Advent include Advent IX Funds, AIDH Holdings, Inc. (“AIDH Holdings”), AIDH TopCo, AIDH Buyer, and AIDH Finance Sub, LLC (“AIDH Finance Sub”).</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transactions outlined in the Agreement were executed as follows:</w:t>
      </w:r>
    </w:p>
    <w:p>
      <w:pPr>
        <w:spacing w:after="0" w:line="117" w:lineRule="exact"/>
        <w:rPr>
          <w:sz w:val="20"/>
          <w:szCs w:val="20"/>
          <w:color w:val="auto"/>
        </w:rPr>
      </w:pPr>
    </w:p>
    <w:p>
      <w:pPr>
        <w:ind w:left="120" w:right="360" w:firstLine="436"/>
        <w:spacing w:after="0" w:line="279" w:lineRule="auto"/>
        <w:tabs>
          <w:tab w:leader="none" w:pos="87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36"/>
        <w:spacing w:after="0" w:line="277" w:lineRule="auto"/>
        <w:tabs>
          <w:tab w:leader="none" w:pos="87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70" w:lineRule="exact"/>
        <w:rPr>
          <w:rFonts w:ascii="Arial" w:cs="Arial" w:eastAsia="Arial" w:hAnsi="Arial"/>
          <w:sz w:val="18"/>
          <w:szCs w:val="18"/>
          <w:color w:val="auto"/>
        </w:rPr>
      </w:pPr>
    </w:p>
    <w:p>
      <w:pPr>
        <w:ind w:left="120" w:firstLine="436"/>
        <w:spacing w:after="0" w:line="263" w:lineRule="auto"/>
        <w:tabs>
          <w:tab w:leader="none" w:pos="87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1,129,346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Common units issued</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1,699,612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Of the total cash consideration, $1,122.4 million was paid upon closing and $6.9 million in July 2020. Cash consideration for the acquisition was partly provided by net proceeds from the 2019 Term Loan, as outlined above.</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40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line="20" w:lineRule="exact"/>
              <w:rPr>
                <w:sz w:val="1"/>
                <w:szCs w:val="1"/>
                <w:color w:val="auto"/>
              </w:rPr>
            </w:pPr>
          </w:p>
        </w:tc>
      </w:tr>
      <w:tr>
        <w:trPr>
          <w:trHeight w:val="126"/>
        </w:trPr>
        <w:tc>
          <w:tcPr>
            <w:tcW w:w="40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Company</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Carrying</w:t>
            </w:r>
          </w:p>
        </w:tc>
        <w:tc>
          <w:tcPr>
            <w:tcW w:w="3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1"/>
              <w:spacing w:after="0" w:line="123" w:lineRule="exact"/>
              <w:rPr>
                <w:sz w:val="20"/>
                <w:szCs w:val="20"/>
                <w:color w:val="auto"/>
              </w:rPr>
            </w:pPr>
            <w:r>
              <w:rPr>
                <w:rFonts w:ascii="Arial" w:cs="Arial" w:eastAsia="Arial" w:hAnsi="Arial"/>
                <w:sz w:val="14"/>
                <w:szCs w:val="14"/>
                <w:color w:val="auto"/>
              </w:rPr>
              <w:t>Final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0"/>
              </w:rPr>
              <w:t>Values as of</w:t>
            </w:r>
          </w:p>
        </w:tc>
        <w:tc>
          <w:tcPr>
            <w:tcW w:w="20" w:type="dxa"/>
            <w:vAlign w:val="bottom"/>
            <w:shd w:val="clear" w:color="auto" w:fill="000000"/>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3"/>
              </w:rPr>
              <w:t>Fair Value</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Allocations</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July 15, 2019</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w w:val="98"/>
              </w:rPr>
              <w:t>Adjustments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July 16, 2019</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Accounts receivable</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12,747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5,735</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2,201</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19,108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456,292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(5,477)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2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3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457,669</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82,767</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1,144,494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1,227,261</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purchase price</w:t>
            </w:r>
          </w:p>
        </w:tc>
        <w:tc>
          <w:tcPr>
            <w:tcW w:w="2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1,699,612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60" w:type="dxa"/>
            <w:vAlign w:val="bottom"/>
            <w:gridSpan w:val="2"/>
            <w:vMerge w:val="restart"/>
          </w:tcPr>
          <w:p>
            <w:pPr>
              <w:jc w:val="right"/>
              <w:ind w:right="1588"/>
              <w:spacing w:after="0"/>
              <w:rPr>
                <w:sz w:val="20"/>
                <w:szCs w:val="20"/>
                <w:color w:val="auto"/>
              </w:rPr>
            </w:pPr>
            <w:r>
              <w:rPr>
                <w:rFonts w:ascii="Arial" w:cs="Arial" w:eastAsia="Arial" w:hAnsi="Arial"/>
                <w:sz w:val="18"/>
                <w:szCs w:val="18"/>
                <w:color w:val="auto"/>
              </w:rPr>
              <w:t>F-27</w:t>
            </w: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9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9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Financing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July 15,</w:t>
            </w:r>
          </w:p>
        </w:tc>
        <w:tc>
          <w:tcPr>
            <w:tcW w:w="3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 Finance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Merger</w:t>
            </w: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July 16, 2019</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Accounts receivable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12,747</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5,735</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2,201</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Intangible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19,108</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456,292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475,400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82,767</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1,144,494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1,227,261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14,589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141,204</w:t>
            </w: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1,595,201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1,751,010</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9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w:t>
            </w:r>
          </w:p>
        </w:tc>
        <w:tc>
          <w:tcPr>
            <w:tcW w:w="26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Term Loan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436,553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436,553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43,755</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446,960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483,753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Members’ Capital</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97,449</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(432,355)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1,602,163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1,267,257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141,204</w:t>
            </w: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1,595,201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1,751,010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84"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Company engaged a third-party valuation specialist to perform an ASC 805 fair valuation of the acquired identifiable intangible assets as of the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the purchase price to the capital contribution made by Sponsor as July 16, 2019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1,699,612</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Transaction costs paid from proceeds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4,004</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Debt Financing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436,359</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1,267,257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40" w:firstLine="440"/>
        <w:spacing w:after="0" w:line="287" w:lineRule="auto"/>
        <w:rPr>
          <w:sz w:val="20"/>
          <w:szCs w:val="20"/>
          <w:color w:val="auto"/>
        </w:rPr>
      </w:pPr>
      <w:r>
        <w:rPr>
          <w:rFonts w:ascii="Arial" w:cs="Arial" w:eastAsia="Arial" w:hAnsi="Arial"/>
          <w:sz w:val="16"/>
          <w:szCs w:val="16"/>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w:t>
      </w:r>
    </w:p>
    <w:p>
      <w:pPr>
        <w:spacing w:after="0" w:line="2" w:lineRule="exact"/>
        <w:rPr>
          <w:sz w:val="20"/>
          <w:szCs w:val="20"/>
          <w:color w:val="auto"/>
        </w:rPr>
      </w:pPr>
    </w:p>
    <w:p>
      <w:pPr>
        <w:jc w:val="both"/>
        <w:ind w:left="120" w:right="300"/>
        <w:spacing w:after="0" w:line="255" w:lineRule="auto"/>
        <w:rPr>
          <w:sz w:val="20"/>
          <w:szCs w:val="20"/>
          <w:color w:val="auto"/>
        </w:rPr>
      </w:pPr>
      <w:r>
        <w:rPr>
          <w:rFonts w:ascii="Arial" w:cs="Arial" w:eastAsia="Arial" w:hAnsi="Arial"/>
          <w:sz w:val="18"/>
          <w:szCs w:val="18"/>
          <w:color w:val="auto"/>
        </w:rPr>
        <w:t>$45.5 million, 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67"/>
        </w:trPr>
        <w:tc>
          <w:tcPr>
            <w:tcW w:w="6240" w:type="dxa"/>
            <w:vAlign w:val="bottom"/>
          </w:tcPr>
          <w:p>
            <w:pPr>
              <w:spacing w:after="0"/>
              <w:rPr>
                <w:sz w:val="20"/>
                <w:szCs w:val="20"/>
                <w:color w:val="auto"/>
              </w:rPr>
            </w:pPr>
            <w:r>
              <w:rPr>
                <w:rFonts w:ascii="Arial" w:cs="Arial" w:eastAsia="Arial" w:hAnsi="Arial"/>
                <w:sz w:val="14"/>
                <w:szCs w:val="14"/>
                <w:color w:val="auto"/>
              </w:rPr>
              <w:t>(in thousands)</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2019</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(92,228)</w:t>
            </w:r>
          </w:p>
        </w:tc>
      </w:tr>
    </w:tbl>
    <w:p>
      <w:pPr>
        <w:spacing w:after="0" w:line="18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HIMSS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January 15, 2019, the Predecessor Company acquired substantially all of the assets and assumed substantially all of the liabilities of HIMSS for a total purchase price of $29.8 million. The Company recognized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60"/>
          </w:cols>
          <w:pgMar w:left="320" w:top="459" w:right="5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HSE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329"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96"/>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21"/>
              <w:spacing w:after="0" w:line="123" w:lineRule="exact"/>
              <w:rPr>
                <w:sz w:val="20"/>
                <w:szCs w:val="20"/>
                <w:color w:val="auto"/>
              </w:rPr>
            </w:pPr>
            <w:r>
              <w:rPr>
                <w:rFonts w:ascii="Arial" w:cs="Arial" w:eastAsia="Arial" w:hAnsi="Arial"/>
                <w:sz w:val="14"/>
                <w:szCs w:val="14"/>
                <w:color w:val="auto"/>
                <w:w w:val="96"/>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Year Ended</w:t>
            </w:r>
          </w:p>
        </w:tc>
        <w:tc>
          <w:tcPr>
            <w:tcW w:w="1080" w:type="dxa"/>
            <w:vAlign w:val="bottom"/>
            <w:gridSpan w:val="3"/>
          </w:tcPr>
          <w:p>
            <w:pPr>
              <w:jc w:val="center"/>
              <w:ind w:left="59"/>
              <w:spacing w:after="0" w:line="149"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right w:val="single" w:sz="8" w:color="auto"/>
            </w:tcBorders>
          </w:tcPr>
          <w:p>
            <w:pPr>
              <w:spacing w:after="0"/>
              <w:rPr>
                <w:sz w:val="12"/>
                <w:szCs w:val="12"/>
                <w:color w:val="auto"/>
              </w:rPr>
            </w:pPr>
          </w:p>
        </w:tc>
        <w:tc>
          <w:tcPr>
            <w:tcW w:w="1220" w:type="dxa"/>
            <w:vAlign w:val="bottom"/>
            <w:gridSpan w:val="4"/>
          </w:tcPr>
          <w:p>
            <w:pPr>
              <w:jc w:val="center"/>
              <w:ind w:left="99"/>
              <w:spacing w:after="0" w:line="149" w:lineRule="exact"/>
              <w:rPr>
                <w:sz w:val="20"/>
                <w:szCs w:val="20"/>
                <w:color w:val="auto"/>
              </w:rPr>
            </w:pPr>
            <w:r>
              <w:rPr>
                <w:rFonts w:ascii="Arial" w:cs="Arial" w:eastAsia="Arial" w:hAnsi="Arial"/>
                <w:sz w:val="14"/>
                <w:szCs w:val="14"/>
                <w:color w:val="auto"/>
                <w:w w:val="91"/>
              </w:rPr>
              <w:t>January 1, 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60" w:type="dxa"/>
            <w:vAlign w:val="bottom"/>
            <w:gridSpan w:val="3"/>
          </w:tcPr>
          <w:p>
            <w:pPr>
              <w:jc w:val="center"/>
              <w:ind w:left="2756"/>
              <w:spacing w:after="0" w:line="149" w:lineRule="exact"/>
              <w:rPr>
                <w:sz w:val="20"/>
                <w:szCs w:val="20"/>
                <w:color w:val="auto"/>
              </w:rPr>
            </w:pPr>
            <w:r>
              <w:rPr>
                <w:rFonts w:ascii="Arial" w:cs="Arial" w:eastAsia="Arial" w:hAnsi="Arial"/>
                <w:sz w:val="14"/>
                <w:szCs w:val="14"/>
                <w:color w:val="auto"/>
                <w:w w:val="93"/>
              </w:rPr>
              <w:t>December 31,</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December 31,</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to July 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6"/>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6"/>
              </w:rPr>
              <w:t>2019</w:t>
            </w:r>
          </w:p>
        </w:tc>
        <w:tc>
          <w:tcPr>
            <w:tcW w:w="260" w:type="dxa"/>
            <w:vAlign w:val="bottom"/>
            <w:tcBorders>
              <w:bottom w:val="single" w:sz="8" w:color="CCEEFF"/>
              <w:right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Platform subscriptions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39,872</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0" w:type="dxa"/>
            <w:vAlign w:val="bottom"/>
            <w:gridSpan w:val="2"/>
          </w:tcPr>
          <w:p>
            <w:pPr>
              <w:jc w:val="right"/>
              <w:ind w:right="1167"/>
              <w:spacing w:after="0"/>
              <w:rPr>
                <w:sz w:val="20"/>
                <w:szCs w:val="20"/>
                <w:color w:val="auto"/>
              </w:rPr>
            </w:pPr>
            <w:r>
              <w:rPr>
                <w:rFonts w:ascii="Arial" w:cs="Arial" w:eastAsia="Arial" w:hAnsi="Arial"/>
                <w:sz w:val="18"/>
                <w:szCs w:val="18"/>
                <w:color w:val="auto"/>
              </w:rPr>
              <w:t>F-30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w w:val="92"/>
              </w:rPr>
              <w:t>Successor Company</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6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52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December 31,</w:t>
            </w:r>
          </w:p>
        </w:tc>
        <w:tc>
          <w:tcPr>
            <w:tcW w:w="98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December 31,</w:t>
            </w:r>
          </w:p>
        </w:tc>
        <w:tc>
          <w:tcPr>
            <w:tcW w:w="580" w:type="dxa"/>
            <w:vAlign w:val="bottom"/>
            <w:tcBorders>
              <w:top w:val="single" w:sz="8" w:color="auto"/>
            </w:tcBorders>
          </w:tcPr>
          <w:p>
            <w:pPr>
              <w:ind w:left="60"/>
              <w:spacing w:after="0" w:line="123" w:lineRule="exact"/>
              <w:rPr>
                <w:sz w:val="20"/>
                <w:szCs w:val="20"/>
                <w:color w:val="auto"/>
              </w:rPr>
            </w:pPr>
            <w:r>
              <w:rPr>
                <w:rFonts w:ascii="Arial" w:cs="Arial" w:eastAsia="Arial" w:hAnsi="Arial"/>
                <w:sz w:val="14"/>
                <w:szCs w:val="14"/>
                <w:color w:val="auto"/>
              </w:rPr>
              <w:t>July 16,</w:t>
            </w: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20"/>
              <w:spacing w:after="0" w:line="123" w:lineRule="exact"/>
              <w:rPr>
                <w:sz w:val="20"/>
                <w:szCs w:val="20"/>
                <w:color w:val="auto"/>
              </w:rPr>
            </w:pPr>
            <w:r>
              <w:rPr>
                <w:rFonts w:ascii="Arial" w:cs="Arial" w:eastAsia="Arial" w:hAnsi="Arial"/>
                <w:sz w:val="14"/>
                <w:szCs w:val="14"/>
                <w:color w:val="auto"/>
              </w:rPr>
              <w:t>July 15,</w:t>
            </w: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January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8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$12,747</w:t>
            </w:r>
          </w:p>
        </w:tc>
        <w:tc>
          <w:tcPr>
            <w:tcW w:w="2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$12,747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c>
          <w:tcPr>
            <w:tcW w:w="8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1,906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w:t>
            </w:r>
          </w:p>
        </w:tc>
        <w:tc>
          <w:tcPr>
            <w:tcW w:w="860" w:type="dxa"/>
            <w:vAlign w:val="bottom"/>
            <w:tcBorders>
              <w:righ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 revenues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61,200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46,125</w:t>
            </w:r>
          </w:p>
        </w:tc>
        <w:tc>
          <w:tcPr>
            <w:tcW w:w="8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$32,000</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$38,278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$31,458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summary of the activity impacting the deferred contract costs during the year ended December 31, 2020 and the periods from July 16,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(Successor) and January 1, 2019 to July 15, 2019 (Predecessor) is presented below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0" w:type="dxa"/>
            <w:vAlign w:val="bottom"/>
            <w:gridSpan w:val="6"/>
            <w:vMerge w:val="restart"/>
          </w:tcPr>
          <w:p>
            <w:pPr>
              <w:jc w:val="right"/>
              <w:ind w:right="1040"/>
              <w:spacing w:after="0"/>
              <w:rPr>
                <w:sz w:val="20"/>
                <w:szCs w:val="20"/>
                <w:color w:val="auto"/>
              </w:rPr>
            </w:pPr>
            <w:r>
              <w:rPr>
                <w:rFonts w:ascii="Arial" w:cs="Arial" w:eastAsia="Arial" w:hAnsi="Arial"/>
                <w:sz w:val="14"/>
                <w:szCs w:val="14"/>
                <w:b w:val="1"/>
                <w:bCs w:val="1"/>
                <w:color w:val="auto"/>
              </w:rPr>
              <w:t>Successor Company</w:t>
            </w: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0" w:type="dxa"/>
            <w:vAlign w:val="bottom"/>
            <w:gridSpan w:val="6"/>
            <w:vMerge w:val="continue"/>
          </w:tcPr>
          <w:p>
            <w:pPr>
              <w:spacing w:after="0"/>
              <w:rPr>
                <w:sz w:val="10"/>
                <w:szCs w:val="10"/>
                <w:color w:val="auto"/>
              </w:rPr>
            </w:pPr>
          </w:p>
        </w:tc>
        <w:tc>
          <w:tcPr>
            <w:tcW w:w="82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82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23" w:lineRule="exact"/>
              <w:rPr>
                <w:sz w:val="20"/>
                <w:szCs w:val="20"/>
                <w:color w:val="auto"/>
              </w:rPr>
            </w:pPr>
            <w:r>
              <w:rPr>
                <w:rFonts w:ascii="Arial" w:cs="Arial" w:eastAsia="Arial" w:hAnsi="Arial"/>
                <w:sz w:val="14"/>
                <w:szCs w:val="14"/>
                <w:color w:val="auto"/>
                <w:w w:val="96"/>
              </w:rPr>
              <w:t>Period from</w:t>
            </w:r>
          </w:p>
        </w:tc>
        <w:tc>
          <w:tcPr>
            <w:tcW w:w="560" w:type="dxa"/>
            <w:vAlign w:val="bottom"/>
          </w:tcPr>
          <w:p>
            <w:pPr>
              <w:spacing w:after="0"/>
              <w:rPr>
                <w:sz w:val="10"/>
                <w:szCs w:val="10"/>
                <w:color w:val="auto"/>
              </w:rPr>
            </w:pPr>
          </w:p>
        </w:tc>
        <w:tc>
          <w:tcPr>
            <w:tcW w:w="82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w w:val="94"/>
              </w:rPr>
              <w:t>Year Ended</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July 16, 2019 to</w:t>
            </w:r>
          </w:p>
        </w:tc>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0"/>
              </w:rPr>
              <w:t>December 31,</w:t>
            </w:r>
          </w:p>
        </w:tc>
        <w:tc>
          <w:tcPr>
            <w:tcW w:w="820" w:type="dxa"/>
            <w:vAlign w:val="bottom"/>
            <w:tcBorders>
              <w:left w:val="single" w:sz="8" w:color="auto"/>
            </w:tcBorders>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w w:val="99"/>
              </w:rPr>
              <w:t>January 1, 2019 to</w:t>
            </w:r>
          </w:p>
        </w:tc>
        <w:tc>
          <w:tcPr>
            <w:tcW w:w="0" w:type="dxa"/>
            <w:vAlign w:val="bottom"/>
          </w:tcPr>
          <w:p>
            <w:pPr>
              <w:spacing w:after="0"/>
              <w:rPr>
                <w:sz w:val="1"/>
                <w:szCs w:val="1"/>
                <w:color w:val="auto"/>
              </w:rPr>
            </w:pPr>
          </w:p>
        </w:tc>
      </w:tr>
      <w:tr>
        <w:trPr>
          <w:trHeight w:val="167"/>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color w:val="auto"/>
                <w:w w:val="89"/>
              </w:rPr>
              <w:t>2019</w:t>
            </w:r>
          </w:p>
        </w:tc>
        <w:tc>
          <w:tcPr>
            <w:tcW w:w="560" w:type="dxa"/>
            <w:vAlign w:val="bottom"/>
          </w:tcPr>
          <w:p>
            <w:pPr>
              <w:spacing w:after="0"/>
              <w:rPr>
                <w:sz w:val="14"/>
                <w:szCs w:val="14"/>
                <w:color w:val="auto"/>
              </w:rPr>
            </w:pPr>
          </w:p>
        </w:tc>
        <w:tc>
          <w:tcPr>
            <w:tcW w:w="82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Adoption of ASC 606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amortized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Additional amounts deferred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7,684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3,074</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(5,735)</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2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Classified as: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2,947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769</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2,116</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2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activity impacting deferred revenue balances during the year ended December 31, 2020 and the periods from July 16, 2019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January 1, 2019 to July 15, 2019, is presented below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6"/>
            <w:vMerge w:val="continue"/>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6"/>
              </w:rPr>
              <w:t>Period from</w:t>
            </w:r>
          </w:p>
        </w:tc>
        <w:tc>
          <w:tcPr>
            <w:tcW w:w="280" w:type="dxa"/>
            <w:vAlign w:val="bottom"/>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4"/>
              </w:rPr>
              <w:t>Year Ended</w:t>
            </w: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3"/>
              </w:rPr>
              <w:t>December 31,</w:t>
            </w:r>
          </w:p>
        </w:tc>
        <w:tc>
          <w:tcPr>
            <w:tcW w:w="1440" w:type="dxa"/>
            <w:vAlign w:val="bottom"/>
            <w:tcBorders>
              <w:left w:val="single" w:sz="8" w:color="auto"/>
            </w:tcBorders>
            <w:gridSpan w:val="4"/>
          </w:tcPr>
          <w:p>
            <w:pPr>
              <w:jc w:val="center"/>
              <w:ind w:left="68"/>
              <w:spacing w:after="0" w:line="149" w:lineRule="exact"/>
              <w:rPr>
                <w:sz w:val="20"/>
                <w:szCs w:val="20"/>
                <w:color w:val="auto"/>
              </w:rPr>
            </w:pPr>
            <w:r>
              <w:rPr>
                <w:rFonts w:ascii="Arial" w:cs="Arial" w:eastAsia="Arial" w:hAnsi="Arial"/>
                <w:sz w:val="14"/>
                <w:szCs w:val="14"/>
                <w:color w:val="auto"/>
                <w:w w:val="91"/>
              </w:rPr>
              <w:t>January 1, 2019 to</w:t>
            </w: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5"/>
              <w:spacing w:after="0"/>
              <w:rPr>
                <w:sz w:val="20"/>
                <w:szCs w:val="20"/>
                <w:color w:val="auto"/>
              </w:rPr>
            </w:pPr>
            <w:r>
              <w:rPr>
                <w:rFonts w:ascii="Arial" w:cs="Arial" w:eastAsia="Arial" w:hAnsi="Arial"/>
                <w:sz w:val="14"/>
                <w:szCs w:val="14"/>
                <w:color w:val="auto"/>
                <w:w w:val="96"/>
              </w:rPr>
              <w:t>2019</w:t>
            </w:r>
          </w:p>
        </w:tc>
        <w:tc>
          <w:tcPr>
            <w:tcW w:w="28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Adoption of ASC 606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(6,278)</w:t>
            </w:r>
          </w:p>
        </w:tc>
        <w:tc>
          <w:tcPr>
            <w:tcW w:w="2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Revenue recognized</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(118,317)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(40,045)</w:t>
            </w:r>
          </w:p>
        </w:tc>
        <w:tc>
          <w:tcPr>
            <w:tcW w:w="2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Additional amounts deferred</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46,125</w:t>
            </w:r>
          </w:p>
        </w:tc>
        <w:tc>
          <w:tcPr>
            <w:tcW w:w="280" w:type="dxa"/>
            <w:vAlign w:val="bottom"/>
          </w:tcPr>
          <w:p>
            <w:pPr>
              <w:spacing w:after="0"/>
              <w:rPr>
                <w:sz w:val="19"/>
                <w:szCs w:val="19"/>
                <w:color w:val="auto"/>
              </w:rPr>
            </w:pPr>
          </w:p>
        </w:tc>
        <w:tc>
          <w:tcPr>
            <w:tcW w:w="26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60" w:right="4380" w:hanging="5344"/>
        <w:spacing w:after="0" w:line="490" w:lineRule="auto"/>
        <w:tabs>
          <w:tab w:leader="none" w:pos="554" w:val="left"/>
        </w:tabs>
        <w:numPr>
          <w:ilvl w:val="0"/>
          <w:numId w:val="154"/>
        </w:numPr>
        <w:rPr>
          <w:rFonts w:ascii="Arial" w:cs="Arial" w:eastAsia="Arial" w:hAnsi="Arial"/>
          <w:sz w:val="14"/>
          <w:szCs w:val="14"/>
          <w:color w:val="auto"/>
        </w:rPr>
      </w:pPr>
      <w:r>
        <w:rPr>
          <w:rFonts w:ascii="Arial" w:cs="Arial" w:eastAsia="Arial" w:hAnsi="Arial"/>
          <w:sz w:val="17"/>
          <w:szCs w:val="17"/>
          <w:color w:val="auto"/>
        </w:rPr>
        <w:t>Amounts include total revenue deferred and recognized during each respective period. F-31</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remaining performance obligations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600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December 31,</w:t>
            </w: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40" w:type="dxa"/>
            <w:vAlign w:val="bottom"/>
          </w:tcPr>
          <w:p>
            <w:pPr>
              <w:spacing w:after="0"/>
              <w:rPr>
                <w:sz w:val="10"/>
                <w:szCs w:val="10"/>
                <w:color w:val="auto"/>
              </w:rPr>
            </w:pPr>
          </w:p>
        </w:tc>
      </w:tr>
      <w:tr>
        <w:trPr>
          <w:trHeight w:val="167"/>
        </w:trPr>
        <w:tc>
          <w:tcPr>
            <w:tcW w:w="6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r>
              <w:rPr>
                <w:rFonts w:ascii="Arial" w:cs="Arial" w:eastAsia="Arial" w:hAnsi="Arial"/>
                <w:sz w:val="15"/>
                <w:szCs w:val="15"/>
                <w:color w:val="auto"/>
              </w:rPr>
              <w:t>(a)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114,284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82,291</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Noncurrent</w:t>
            </w:r>
            <w:r>
              <w:rPr>
                <w:rFonts w:ascii="Arial" w:cs="Arial" w:eastAsia="Arial" w:hAnsi="Arial"/>
                <w:sz w:val="15"/>
                <w:szCs w:val="15"/>
                <w:color w:val="auto"/>
              </w:rPr>
              <w:t>(a)</w:t>
            </w: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58,250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40,475</w:t>
            </w:r>
          </w:p>
        </w:tc>
      </w:tr>
      <w:tr>
        <w:trPr>
          <w:trHeight w:val="27"/>
        </w:trPr>
        <w:tc>
          <w:tcPr>
            <w:tcW w:w="6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172,534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122,766</w:t>
            </w: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380" w:hanging="424"/>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above table has been corrected for certain errors. Previously reported current, noncurrent and total amounts were $121,623, $51,368, and $172,991 respectively for 2020 and $90,237, $32,957, and $123,194 respectively for 2019.</w:t>
      </w:r>
    </w:p>
    <w:p>
      <w:pPr>
        <w:spacing w:after="0" w:line="319"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Successor Company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2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r>
      <w:tr>
        <w:trPr>
          <w:trHeight w:val="167"/>
        </w:trPr>
        <w:tc>
          <w:tcPr>
            <w:tcW w:w="44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2020</w:t>
            </w:r>
          </w:p>
        </w:tc>
        <w:tc>
          <w:tcPr>
            <w:tcW w:w="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25,220</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Unbilled receivable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33,964</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25,471</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25,021</w:t>
            </w: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Successor Company</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6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12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6"/>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w w:val="97"/>
              </w:rPr>
              <w:t>Less: accumulated depreciation and amortization</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(2,911)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60" w:type="dxa"/>
            <w:vAlign w:val="bottom"/>
            <w:gridSpan w:val="2"/>
          </w:tcPr>
          <w:p>
            <w:pPr>
              <w:ind w:left="280"/>
              <w:spacing w:after="0"/>
              <w:rPr>
                <w:sz w:val="20"/>
                <w:szCs w:val="20"/>
                <w:color w:val="auto"/>
              </w:rPr>
            </w:pPr>
            <w:r>
              <w:rPr>
                <w:rFonts w:ascii="Arial" w:cs="Arial" w:eastAsia="Arial" w:hAnsi="Arial"/>
                <w:sz w:val="18"/>
                <w:szCs w:val="18"/>
                <w:color w:val="auto"/>
              </w:rPr>
              <w:t>F-32</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72"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 and Intangible Assets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and intangible assets, as of December 31, 2020 and 2019, consist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2020 (Successor)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84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4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w w:val="98"/>
              </w:rPr>
              <w:t>(58,097)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311,933</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8"/>
              </w:rPr>
              <w:t>(10,218)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40,882</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32,548</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8"/>
              </w:rPr>
              <w:t>(17,782)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(89,049)</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410,237</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1,261,444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$ 1,760,730</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(89,049</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1,671,681</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84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4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358,130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w w:val="98"/>
              </w:rPr>
              <w:t>(21,075)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337,055</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(3,206)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45,294</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33,172</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(5,408)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476,998</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(30,617)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446,381</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1,233,173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1,233,173</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$ 1,710,171</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(30,617</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1,679,554</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Amortization expense associated with finite-lived intangible assets was $58.4 million for the year ended December 31, 2020 (Successor), of which $19.4 million was included in cost of revenue for the said period. Amortization expense associated with finite-lived intangible assets was $30.6 million and $2.0 million for the periods from July 16, 2019 through December 31, 2019 (Successor), and January 1, 2019 through July 15, 2019 (Predecessor),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58,143</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2022</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53,653</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45,709</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2024</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42,485</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38,296</w:t>
            </w: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Thereafter</w:t>
            </w:r>
          </w:p>
        </w:tc>
        <w:tc>
          <w:tcPr>
            <w:tcW w:w="4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171,951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410,237</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60" w:type="dxa"/>
            <w:vAlign w:val="bottom"/>
            <w:gridSpan w:val="2"/>
          </w:tcPr>
          <w:p>
            <w:pPr>
              <w:jc w:val="right"/>
              <w:ind w:right="2900"/>
              <w:spacing w:after="0"/>
              <w:rPr>
                <w:sz w:val="20"/>
                <w:szCs w:val="20"/>
                <w:color w:val="auto"/>
              </w:rPr>
            </w:pPr>
            <w:r>
              <w:rPr>
                <w:rFonts w:ascii="Arial" w:cs="Arial" w:eastAsia="Arial" w:hAnsi="Arial"/>
                <w:sz w:val="18"/>
                <w:szCs w:val="18"/>
                <w:color w:val="auto"/>
              </w:rPr>
              <w:t>F-33</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changes in the carrying amount of goodwill for the year ended December 31, 2020 (Successor) and the periods from July 16, 2019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(Successor) and January 1, 2019 through July 15, 2019 (Predecessor) were as follows (in thousands):</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 (Predecessor)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63,623</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HIMSS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15, 2019 (Predecessor)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82,768</w:t>
            </w:r>
          </w:p>
        </w:tc>
      </w:tr>
      <w:tr>
        <w:trPr>
          <w:trHeight w:val="230"/>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Definitive Holdco Acquisition (Note 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4"/>
              </w:rPr>
              <w:t>1,144,494</w:t>
            </w: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16, 2019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1,227,262</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HSE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 (Successor)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1,233,173</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Monocl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1,261,444</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determined it had one reporting unit. The Company performed its annual impairment assessment in the fourth quarter of 2020 and 2019 and determined there was no impairment in 2020 or 2019.</w:t>
      </w:r>
    </w:p>
    <w:p>
      <w:pPr>
        <w:spacing w:after="0" w:line="319"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Debt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December 31, 2020 and 2019, respectively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2"/>
              </w:rPr>
              <w:t>December 31, 2020 (Successor)</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$444,375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(10,865)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1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472,742</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0"/>
              </w:rPr>
              <w:t>(10,865)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2"/>
              </w:rPr>
              <w:t>December 31, 2019 (Successor)</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$448,875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(12,567)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451,916</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Term Loan Payable</w:t>
      </w:r>
    </w:p>
    <w:p>
      <w:pPr>
        <w:spacing w:after="0" w:line="11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9" w:right="5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Delayed Draw Term Loan Payable</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Revolving Line of Credit</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Line of Credit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Financing Costs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Capitalized financing costs represent costs incurred by the Company to obtain financing and are amortized over the term of the applicable loan using the effective interest method.</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Future principal payments as of December 31, 2020 are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449,342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472,742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8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6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 achievement would result in a higher fair value measurement. The fair value of the contingent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60"/>
          </w:cols>
          <w:pgMar w:left="320" w:top="459" w:right="5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 $0.0 million (undiscounted) in earn-out payments. Assuming the achievement of the applicable performance criteria, these earn-out payments will be made over the next 2 years.</w:t>
      </w:r>
    </w:p>
    <w:p>
      <w:pPr>
        <w:spacing w:after="0" w:line="18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table below presents a reconciliation of earnout liabilities measured at fair value on a recurring basis using significant unobservable inputs (Level 3)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6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5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6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5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96"/>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December 31, 2020</w:t>
            </w:r>
          </w:p>
        </w:tc>
        <w:tc>
          <w:tcPr>
            <w:tcW w:w="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1"/>
              </w:rPr>
              <w:t>December 31, 2019</w:t>
            </w:r>
          </w:p>
        </w:tc>
        <w:tc>
          <w:tcPr>
            <w:tcW w:w="2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to July 15, 2019</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fair value and other adjustments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Payments</w:t>
            </w:r>
          </w:p>
        </w:tc>
        <w:tc>
          <w:tcPr>
            <w:tcW w:w="1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were as follows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w w:val="90"/>
              </w:rPr>
              <w:t>Fair Value</w:t>
            </w:r>
          </w:p>
        </w:tc>
        <w:tc>
          <w:tcPr>
            <w:tcW w:w="4080" w:type="dxa"/>
            <w:vAlign w:val="bottom"/>
            <w:gridSpan w:val="2"/>
          </w:tcPr>
          <w:p>
            <w:pPr>
              <w:ind w:left="1280"/>
              <w:spacing w:after="0"/>
              <w:rPr>
                <w:sz w:val="20"/>
                <w:szCs w:val="20"/>
                <w:color w:val="auto"/>
              </w:rPr>
            </w:pPr>
            <w:r>
              <w:rPr>
                <w:rFonts w:ascii="Arial" w:cs="Arial" w:eastAsia="Arial" w:hAnsi="Arial"/>
                <w:sz w:val="14"/>
                <w:szCs w:val="14"/>
                <w:color w:val="auto"/>
              </w:rPr>
              <w:t>Valuation Technique</w:t>
            </w:r>
          </w:p>
        </w:tc>
        <w:tc>
          <w:tcPr>
            <w:tcW w:w="2080" w:type="dxa"/>
            <w:vAlign w:val="bottom"/>
            <w:gridSpan w:val="2"/>
          </w:tcPr>
          <w:p>
            <w:pPr>
              <w:ind w:left="280"/>
              <w:spacing w:after="0"/>
              <w:rPr>
                <w:sz w:val="20"/>
                <w:szCs w:val="20"/>
                <w:color w:val="auto"/>
              </w:rPr>
            </w:pPr>
            <w:r>
              <w:rPr>
                <w:rFonts w:ascii="Arial" w:cs="Arial" w:eastAsia="Arial" w:hAnsi="Arial"/>
                <w:sz w:val="14"/>
                <w:szCs w:val="14"/>
                <w:color w:val="auto"/>
              </w:rPr>
              <w:t>Unobservable Inputs</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Discount Rate</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Earn-out liabilities</w:t>
            </w: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$ 5,236</w:t>
            </w:r>
          </w:p>
        </w:tc>
        <w:tc>
          <w:tcPr>
            <w:tcW w:w="540" w:type="dxa"/>
            <w:vAlign w:val="bottom"/>
            <w:vMerge w:val="continue"/>
            <w:shd w:val="clear" w:color="auto" w:fill="CCEEFF"/>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Approach (Real Option Method)</w:t>
            </w:r>
          </w:p>
        </w:tc>
        <w:tc>
          <w:tcPr>
            <w:tcW w:w="340" w:type="dxa"/>
            <w:vAlign w:val="bottom"/>
            <w:vMerge w:val="continue"/>
            <w:shd w:val="clear" w:color="auto" w:fill="CCEEFF"/>
          </w:tcPr>
          <w:p>
            <w:pPr>
              <w:spacing w:after="0"/>
              <w:rPr>
                <w:sz w:val="18"/>
                <w:szCs w:val="18"/>
                <w:color w:val="auto"/>
              </w:rPr>
            </w:pPr>
          </w:p>
        </w:tc>
        <w:tc>
          <w:tcPr>
            <w:tcW w:w="17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Discount rate</w:t>
            </w:r>
          </w:p>
        </w:tc>
        <w:tc>
          <w:tcPr>
            <w:tcW w:w="34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For discussion about the impairment testing of assets not measured at fair value on a recurring basis see Note 7.</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for additional details.</w:t>
      </w:r>
    </w:p>
    <w:p>
      <w:pPr>
        <w:spacing w:after="0" w:line="341" w:lineRule="exact"/>
        <w:rPr>
          <w:sz w:val="20"/>
          <w:szCs w:val="20"/>
          <w:color w:val="auto"/>
        </w:rPr>
      </w:pPr>
    </w:p>
    <w:p>
      <w:pPr>
        <w:ind w:left="540" w:hanging="424"/>
        <w:spacing w:after="0"/>
        <w:tabs>
          <w:tab w:leader="none" w:pos="5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9"/>
              </w:rPr>
              <w:t>December 31, 2020</w:t>
            </w:r>
          </w:p>
        </w:tc>
        <w:tc>
          <w:tcPr>
            <w:tcW w:w="2220" w:type="dxa"/>
            <w:vAlign w:val="bottom"/>
            <w:gridSpan w:val="3"/>
          </w:tcPr>
          <w:p>
            <w:pPr>
              <w:ind w:left="1080"/>
              <w:spacing w:after="0" w:line="142"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payroll-related</w:t>
            </w:r>
          </w:p>
        </w:tc>
        <w:tc>
          <w:tcPr>
            <w:tcW w:w="19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Accrued interest</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5,365</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current</w:t>
            </w: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Sales taxes</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3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40" w:type="dxa"/>
            <w:vAlign w:val="bottom"/>
            <w:gridSpan w:val="2"/>
          </w:tcPr>
          <w:p>
            <w:pPr>
              <w:jc w:val="right"/>
              <w:ind w:right="1347"/>
              <w:spacing w:after="0"/>
              <w:rPr>
                <w:sz w:val="20"/>
                <w:szCs w:val="20"/>
                <w:color w:val="auto"/>
              </w:rPr>
            </w:pPr>
            <w:r>
              <w:rPr>
                <w:rFonts w:ascii="Arial" w:cs="Arial" w:eastAsia="Arial" w:hAnsi="Arial"/>
                <w:sz w:val="18"/>
                <w:szCs w:val="18"/>
                <w:color w:val="auto"/>
              </w:rPr>
              <w:t>F-37</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office facilities in Massachusetts, Vermont and Sweden, the terms of which expire at various times through the year 2030.</w:t>
      </w:r>
    </w:p>
    <w:p>
      <w:pPr>
        <w:spacing w:after="0" w:line="248"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Minimum future rental payments are expected to be as follows for each of the years ending December 31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2,673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2,338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17,072</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5,257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3,925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22,046</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ind w:left="560" w:right="9260" w:hanging="444"/>
        <w:spacing w:after="0" w:line="450" w:lineRule="auto"/>
        <w:tabs>
          <w:tab w:leader="none" w:pos="552" w:val="left"/>
        </w:tabs>
        <w:numPr>
          <w:ilvl w:val="0"/>
          <w:numId w:val="16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Members’ capital </w:t>
      </w:r>
      <w:r>
        <w:rPr>
          <w:rFonts w:ascii="Arial" w:cs="Arial" w:eastAsia="Arial" w:hAnsi="Arial"/>
          <w:sz w:val="15"/>
          <w:szCs w:val="15"/>
          <w:b w:val="1"/>
          <w:bCs w:val="1"/>
          <w:color w:val="auto"/>
        </w:rPr>
        <w:t>Successor</w:t>
      </w:r>
    </w:p>
    <w:p>
      <w:pPr>
        <w:spacing w:after="0" w:line="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and Note 3. Business </w:t>
      </w:r>
      <w:r>
        <w:rPr>
          <w:rFonts w:ascii="Arial" w:cs="Arial" w:eastAsia="Arial" w:hAnsi="Arial"/>
          <w:sz w:val="18"/>
          <w:szCs w:val="18"/>
          <w:i w:val="1"/>
          <w:iCs w:val="1"/>
          <w:color w:val="auto"/>
        </w:rPr>
        <w:t>Combinations</w:t>
      </w:r>
      <w:r>
        <w:rPr>
          <w:rFonts w:ascii="Arial" w:cs="Arial" w:eastAsia="Arial" w:hAnsi="Arial"/>
          <w:sz w:val="18"/>
          <w:szCs w:val="18"/>
          <w:color w:val="auto"/>
        </w:rPr>
        <w:t>, the Company was formed by Advent for the purpose of acquiring Definitive Holdco.</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Upon formation of the Company, two classes of units were established: Class A Units (“Class A Units”) and Class B Units (“Class B Units”), collectively the Units.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July 16, 2019, 100% of the issued and outstanding Legacy Common Units of Definitive Holdco were acquired by AIDH Buyer, an affiliated legal entity of Advent and a wholly owned subsidiary of the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part of the Definitive Holdco Acquisition, the Company issued 127,725,743 Class A Units at $10 per unit for total contributed capital of $1,267.3 million.</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Additionally, the outstanding units of the Legacy Class B Series B, Series C, Series D, and Series E were sold to AIDH Buyer and the holders received a combination of cash and equity in the Company.</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In 2019, the Company contributed $4.0 million worth of its Class A Units to partially fund the acquisition of HSE that occurred in December 2019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 xml:space="preserve">In 2020, the Company contributed $25.4 million worth of its Class A units to partially fund the acquisition of Monocl that occurred in October 2020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also received an additional $6.4 million for buy in of Class A Units from of a number of its members.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was 130,245,990 and 127,125,435 issued and outstanding Class A units as of December 31, 2020 and December 31, 2019, respectively.</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Predecessor</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Upon formation of the Predecessor Company, two classes of common units were established; Class A Common Units (“ Legacy Class A Units”) and Class B Common Units (“Legacy Class B Units”), collectively the Legacy Common Units.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6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46"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480" w:hanging="444"/>
        <w:spacing w:after="0" w:line="450" w:lineRule="auto"/>
        <w:tabs>
          <w:tab w:leader="none" w:pos="552" w:val="left"/>
        </w:tabs>
        <w:numPr>
          <w:ilvl w:val="0"/>
          <w:numId w:val="16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Equity-based Compensation </w:t>
      </w:r>
      <w:r>
        <w:rPr>
          <w:rFonts w:ascii="Arial" w:cs="Arial" w:eastAsia="Arial" w:hAnsi="Arial"/>
          <w:sz w:val="15"/>
          <w:szCs w:val="15"/>
          <w:u w:val="single" w:color="auto"/>
          <w:color w:val="auto"/>
        </w:rPr>
        <w:t>2019 Incentive Equity Plan</w:t>
      </w:r>
    </w:p>
    <w:p>
      <w:pPr>
        <w:spacing w:after="0" w:line="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4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48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00" w:type="dxa"/>
            <w:vAlign w:val="bottom"/>
          </w:tcPr>
          <w:p>
            <w:pPr>
              <w:spacing w:after="0"/>
              <w:rPr>
                <w:sz w:val="10"/>
                <w:szCs w:val="10"/>
                <w:color w:val="auto"/>
              </w:rPr>
            </w:pPr>
          </w:p>
        </w:tc>
      </w:tr>
      <w:tr>
        <w:trPr>
          <w:trHeight w:val="148"/>
        </w:trPr>
        <w:tc>
          <w:tcPr>
            <w:tcW w:w="4880" w:type="dxa"/>
            <w:vAlign w:val="bottom"/>
          </w:tcPr>
          <w:p>
            <w:pPr>
              <w:spacing w:after="0"/>
              <w:rPr>
                <w:sz w:val="12"/>
                <w:szCs w:val="12"/>
                <w:color w:val="auto"/>
              </w:rPr>
            </w:pPr>
          </w:p>
        </w:tc>
        <w:tc>
          <w:tcPr>
            <w:tcW w:w="2160" w:type="dxa"/>
            <w:vAlign w:val="bottom"/>
            <w:gridSpan w:val="2"/>
          </w:tcPr>
          <w:p>
            <w:pPr>
              <w:jc w:val="right"/>
              <w:ind w:right="1280"/>
              <w:spacing w:after="0" w:line="149" w:lineRule="exact"/>
              <w:rPr>
                <w:sz w:val="20"/>
                <w:szCs w:val="20"/>
                <w:color w:val="auto"/>
              </w:rPr>
            </w:pPr>
            <w:r>
              <w:rPr>
                <w:rFonts w:ascii="Arial" w:cs="Arial" w:eastAsia="Arial" w:hAnsi="Arial"/>
                <w:sz w:val="14"/>
                <w:szCs w:val="14"/>
                <w:color w:val="auto"/>
              </w:rPr>
              <w:t>Year ended</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16, 2019 to</w:t>
            </w:r>
          </w:p>
        </w:tc>
      </w:tr>
      <w:tr>
        <w:trPr>
          <w:trHeight w:val="167"/>
        </w:trPr>
        <w:tc>
          <w:tcPr>
            <w:tcW w:w="4880" w:type="dxa"/>
            <w:vAlign w:val="bottom"/>
          </w:tcPr>
          <w:p>
            <w:pPr>
              <w:spacing w:after="0"/>
              <w:rPr>
                <w:sz w:val="14"/>
                <w:szCs w:val="14"/>
                <w:color w:val="auto"/>
              </w:rPr>
            </w:pPr>
          </w:p>
        </w:tc>
        <w:tc>
          <w:tcPr>
            <w:tcW w:w="2160" w:type="dxa"/>
            <w:vAlign w:val="bottom"/>
            <w:gridSpan w:val="2"/>
          </w:tcPr>
          <w:p>
            <w:pPr>
              <w:jc w:val="right"/>
              <w:ind w:right="1040"/>
              <w:spacing w:after="0"/>
              <w:rPr>
                <w:sz w:val="20"/>
                <w:szCs w:val="20"/>
                <w:color w:val="auto"/>
              </w:rPr>
            </w:pPr>
            <w:r>
              <w:rPr>
                <w:rFonts w:ascii="Arial" w:cs="Arial" w:eastAsia="Arial" w:hAnsi="Arial"/>
                <w:sz w:val="14"/>
                <w:szCs w:val="14"/>
                <w:color w:val="auto"/>
                <w:w w:val="89"/>
              </w:rPr>
              <w:t>December 31, 2020</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December 31, 2019</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10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1.73%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Applied volatility</w:t>
            </w: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jc w:val="both"/>
        <w:ind w:left="120" w:right="580" w:firstLine="440"/>
        <w:spacing w:after="0" w:line="342" w:lineRule="auto"/>
        <w:rPr>
          <w:sz w:val="20"/>
          <w:szCs w:val="20"/>
          <w:color w:val="auto"/>
        </w:rPr>
      </w:pPr>
      <w:r>
        <w:rPr>
          <w:rFonts w:ascii="Arial" w:cs="Arial" w:eastAsia="Arial" w:hAnsi="Arial"/>
          <w:sz w:val="16"/>
          <w:szCs w:val="16"/>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color w:val="auto"/>
              </w:rPr>
              <w:t>Time-based</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91"/>
              </w:rPr>
              <w:t>Performance-based</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7"/>
              </w:rPr>
              <w:t>Weighted</w:t>
            </w: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7"/>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Average</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color w:val="auto"/>
                <w:w w:val="88"/>
              </w:rPr>
              <w:t>2019 Plan</w:t>
            </w:r>
          </w:p>
        </w:tc>
        <w:tc>
          <w:tcPr>
            <w:tcW w:w="6280" w:type="dxa"/>
            <w:vAlign w:val="bottom"/>
            <w:vMerge w:val="restart"/>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4"/>
              </w:rPr>
              <w:t>Non-Vested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 Date</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4"/>
              </w:rPr>
              <w:t>Non-Vested</w:t>
            </w: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Grant Date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5"/>
                <w:szCs w:val="15"/>
                <w:color w:val="auto"/>
              </w:rPr>
            </w:pPr>
          </w:p>
        </w:tc>
        <w:tc>
          <w:tcPr>
            <w:tcW w:w="6280" w:type="dxa"/>
            <w:vAlign w:val="bottom"/>
            <w:vMerge w:val="continue"/>
          </w:tcPr>
          <w:p>
            <w:pPr>
              <w:spacing w:after="0"/>
              <w:rPr>
                <w:sz w:val="15"/>
                <w:szCs w:val="15"/>
                <w:color w:val="auto"/>
              </w:rPr>
            </w:pPr>
          </w:p>
        </w:tc>
        <w:tc>
          <w:tcPr>
            <w:tcW w:w="1200" w:type="dxa"/>
            <w:vAlign w:val="bottom"/>
            <w:gridSpan w:val="2"/>
          </w:tcPr>
          <w:p>
            <w:pPr>
              <w:jc w:val="right"/>
              <w:ind w:right="660"/>
              <w:spacing w:after="0" w:line="154" w:lineRule="exact"/>
              <w:rPr>
                <w:sz w:val="20"/>
                <w:szCs w:val="20"/>
                <w:color w:val="auto"/>
              </w:rPr>
            </w:pPr>
            <w:r>
              <w:rPr>
                <w:rFonts w:ascii="Arial" w:cs="Arial" w:eastAsia="Arial" w:hAnsi="Arial"/>
                <w:sz w:val="14"/>
                <w:szCs w:val="14"/>
                <w:color w:val="auto"/>
              </w:rPr>
              <w:t>Units</w:t>
            </w:r>
          </w:p>
        </w:tc>
        <w:tc>
          <w:tcPr>
            <w:tcW w:w="104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Fair Value</w:t>
            </w:r>
          </w:p>
        </w:tc>
        <w:tc>
          <w:tcPr>
            <w:tcW w:w="1200" w:type="dxa"/>
            <w:vAlign w:val="bottom"/>
            <w:gridSpan w:val="2"/>
          </w:tcPr>
          <w:p>
            <w:pPr>
              <w:jc w:val="right"/>
              <w:ind w:right="660"/>
              <w:spacing w:after="0" w:line="154" w:lineRule="exact"/>
              <w:rPr>
                <w:sz w:val="20"/>
                <w:szCs w:val="20"/>
                <w:color w:val="auto"/>
              </w:rPr>
            </w:pPr>
            <w:r>
              <w:rPr>
                <w:rFonts w:ascii="Arial" w:cs="Arial" w:eastAsia="Arial" w:hAnsi="Arial"/>
                <w:sz w:val="14"/>
                <w:szCs w:val="14"/>
                <w:color w:val="auto"/>
              </w:rPr>
              <w:t>Units</w:t>
            </w:r>
          </w:p>
        </w:tc>
        <w:tc>
          <w:tcPr>
            <w:tcW w:w="72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31, 2018 (Predecessor)</w:t>
            </w: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July 16, 2019 (Successor)</w:t>
            </w:r>
          </w:p>
        </w:tc>
        <w:tc>
          <w:tcPr>
            <w:tcW w:w="12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32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100"/>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1,899,682</w:t>
            </w:r>
          </w:p>
        </w:tc>
        <w:tc>
          <w:tcPr>
            <w:tcW w:w="2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1,899,682</w:t>
            </w:r>
          </w:p>
        </w:tc>
        <w:tc>
          <w:tcPr>
            <w:tcW w:w="320" w:type="dxa"/>
            <w:vAlign w:val="bottom"/>
          </w:tcPr>
          <w:p>
            <w:pPr>
              <w:spacing w:after="0"/>
              <w:rPr>
                <w:sz w:val="18"/>
                <w:szCs w:val="18"/>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 (Successor)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1,899,682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1,899,682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97,611</w:t>
            </w:r>
          </w:p>
        </w:tc>
        <w:tc>
          <w:tcPr>
            <w:tcW w:w="2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97,611</w:t>
            </w:r>
          </w:p>
        </w:tc>
        <w:tc>
          <w:tcPr>
            <w:tcW w:w="320" w:type="dxa"/>
            <w:vAlign w:val="bottom"/>
          </w:tcPr>
          <w:p>
            <w:pPr>
              <w:spacing w:after="0"/>
              <w:rPr>
                <w:sz w:val="18"/>
                <w:szCs w:val="18"/>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(474,920)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(117,653)</w:t>
            </w:r>
          </w:p>
        </w:tc>
        <w:tc>
          <w:tcPr>
            <w:tcW w:w="22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(156,870)</w:t>
            </w:r>
          </w:p>
        </w:tc>
        <w:tc>
          <w:tcPr>
            <w:tcW w:w="32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 (Successor)</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1,404,720</w:t>
            </w: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3.65</w:t>
            </w:r>
          </w:p>
        </w:tc>
        <w:tc>
          <w:tcPr>
            <w:tcW w:w="3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1,840,423</w:t>
            </w: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During the year ended December 31, 2020 (Successor) and the period from July 16, 2019 to December 31, 2019 (Successor), 195,222 and 3,799,364 units, respectively, were granted under the plan.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2015 Incentive Equity Plan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84"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summarizes the 2015 Plan activity for the periods from January 1, 2019 through July 15, 2019 (Predecessor), and July 16, 2019 through December 31, 2019 (Successor).</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Average Grant</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color w:val="auto"/>
                <w:w w:val="88"/>
              </w:rPr>
              <w:t>2015 Plan</w:t>
            </w:r>
          </w:p>
        </w:tc>
        <w:tc>
          <w:tcPr>
            <w:tcW w:w="5440" w:type="dxa"/>
            <w:vAlign w:val="bottom"/>
            <w:vMerge w:val="restart"/>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w w:val="91"/>
              </w:rPr>
              <w:t>Non-Vested</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Date Fair</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1440" w:type="dxa"/>
            <w:vAlign w:val="bottom"/>
            <w:gridSpan w:val="2"/>
          </w:tcPr>
          <w:p>
            <w:pPr>
              <w:jc w:val="right"/>
              <w:ind w:right="940"/>
              <w:spacing w:after="0" w:line="154" w:lineRule="exact"/>
              <w:rPr>
                <w:sz w:val="20"/>
                <w:szCs w:val="20"/>
                <w:color w:val="auto"/>
              </w:rPr>
            </w:pPr>
            <w:r>
              <w:rPr>
                <w:rFonts w:ascii="Arial" w:cs="Arial" w:eastAsia="Arial" w:hAnsi="Arial"/>
                <w:sz w:val="14"/>
                <w:szCs w:val="14"/>
                <w:color w:val="auto"/>
              </w:rPr>
              <w:t>Units</w:t>
            </w:r>
          </w:p>
        </w:tc>
        <w:tc>
          <w:tcPr>
            <w:tcW w:w="120" w:type="dxa"/>
            <w:vAlign w:val="bottom"/>
          </w:tcPr>
          <w:p>
            <w:pPr>
              <w:spacing w:after="0"/>
              <w:rPr>
                <w:sz w:val="15"/>
                <w:szCs w:val="15"/>
                <w:color w:val="auto"/>
              </w:rPr>
            </w:pPr>
          </w:p>
        </w:tc>
        <w:tc>
          <w:tcPr>
            <w:tcW w:w="78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31, 2018 (Predecessor)</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131,545</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48,592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(180,137)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6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16,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December 31,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recorded total unit-based compensation of $1.7 million for the year ended December 31, 2020 (Successor) and $0.7 million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$5.8 million for the periods from July 16, 2019 through December 31, 2019 (Successor) and from January 1, 2019 through July 15, 2019 (Predecessor),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respectively, as follows in the table below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6"/>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4"/>
                <w:szCs w:val="14"/>
                <w:color w:val="auto"/>
              </w:rPr>
              <w:t>Period From</w:t>
            </w: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5"/>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0"/>
              <w:spacing w:after="0" w:line="149" w:lineRule="exact"/>
              <w:rPr>
                <w:sz w:val="20"/>
                <w:szCs w:val="20"/>
                <w:color w:val="auto"/>
              </w:rPr>
            </w:pPr>
            <w:r>
              <w:rPr>
                <w:rFonts w:ascii="Arial" w:cs="Arial" w:eastAsia="Arial" w:hAnsi="Arial"/>
                <w:sz w:val="14"/>
                <w:szCs w:val="14"/>
                <w:color w:val="auto"/>
              </w:rPr>
              <w:t>July 16, 2019 to</w:t>
            </w:r>
          </w:p>
        </w:tc>
        <w:tc>
          <w:tcPr>
            <w:tcW w:w="2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2020</w:t>
            </w:r>
          </w:p>
        </w:tc>
        <w:tc>
          <w:tcPr>
            <w:tcW w:w="1280" w:type="dxa"/>
            <w:vAlign w:val="bottom"/>
            <w:gridSpan w:val="3"/>
          </w:tcPr>
          <w:p>
            <w:pPr>
              <w:ind w:left="160"/>
              <w:spacing w:after="0"/>
              <w:rPr>
                <w:sz w:val="20"/>
                <w:szCs w:val="20"/>
                <w:color w:val="auto"/>
              </w:rPr>
            </w:pPr>
            <w:r>
              <w:rPr>
                <w:rFonts w:ascii="Arial" w:cs="Arial" w:eastAsia="Arial" w:hAnsi="Arial"/>
                <w:sz w:val="14"/>
                <w:szCs w:val="14"/>
                <w:color w:val="auto"/>
                <w:w w:val="89"/>
              </w:rPr>
              <w:t>December 31, 2019</w:t>
            </w:r>
          </w:p>
        </w:tc>
        <w:tc>
          <w:tcPr>
            <w:tcW w:w="280" w:type="dxa"/>
            <w:vAlign w:val="bottom"/>
            <w:tcBorders>
              <w:right w:val="single" w:sz="8" w:color="auto"/>
            </w:tcBorders>
          </w:tcPr>
          <w:p>
            <w:pPr>
              <w:spacing w:after="0"/>
              <w:rPr>
                <w:sz w:val="14"/>
                <w:szCs w:val="14"/>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Time-based:</w:t>
            </w:r>
          </w:p>
        </w:tc>
        <w:tc>
          <w:tcPr>
            <w:tcW w:w="2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25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Total time-based</w:t>
            </w:r>
          </w:p>
        </w:tc>
        <w:tc>
          <w:tcPr>
            <w:tcW w:w="2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Total performance-based</w:t>
            </w:r>
          </w:p>
        </w:tc>
        <w:tc>
          <w:tcPr>
            <w:tcW w:w="2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2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gridSpan w:val="2"/>
          </w:tcPr>
          <w:p>
            <w:pPr>
              <w:jc w:val="right"/>
              <w:ind w:right="968"/>
              <w:spacing w:after="0"/>
              <w:rPr>
                <w:sz w:val="20"/>
                <w:szCs w:val="20"/>
                <w:color w:val="auto"/>
              </w:rPr>
            </w:pPr>
            <w:r>
              <w:rPr>
                <w:rFonts w:ascii="Arial" w:cs="Arial" w:eastAsia="Arial" w:hAnsi="Arial"/>
                <w:sz w:val="18"/>
                <w:szCs w:val="18"/>
                <w:color w:val="auto"/>
              </w:rPr>
              <w:t>F-42</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 from July 16, 2019 to December 31, 2019 (Successor), and from January 1, 2019 to July 15, 2019 (Predecessor) is provided in the following table (in thousands).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gridSpan w:val="4"/>
            <w:vMerge w:val="restart"/>
          </w:tcPr>
          <w:p>
            <w:pPr>
              <w:jc w:val="right"/>
              <w:ind w:right="335"/>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20" w:type="dxa"/>
            <w:vAlign w:val="bottom"/>
            <w:gridSpan w:val="3"/>
          </w:tcPr>
          <w:p>
            <w:pPr>
              <w:jc w:val="center"/>
              <w:ind w:left="1739"/>
              <w:spacing w:after="0" w:line="149" w:lineRule="exact"/>
              <w:rPr>
                <w:sz w:val="20"/>
                <w:szCs w:val="20"/>
                <w:color w:val="auto"/>
              </w:rPr>
            </w:pPr>
            <w:r>
              <w:rPr>
                <w:rFonts w:ascii="Arial" w:cs="Arial" w:eastAsia="Arial" w:hAnsi="Arial"/>
                <w:sz w:val="14"/>
                <w:szCs w:val="14"/>
                <w:color w:val="auto"/>
                <w:w w:val="90"/>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16, 2019 to</w:t>
            </w:r>
          </w:p>
        </w:tc>
        <w:tc>
          <w:tcPr>
            <w:tcW w:w="2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Arial" w:cs="Arial" w:eastAsia="Arial" w:hAnsi="Arial"/>
                <w:sz w:val="14"/>
                <w:szCs w:val="14"/>
                <w:color w:val="auto"/>
                <w:w w:val="89"/>
              </w:rPr>
              <w:t>2020</w:t>
            </w:r>
          </w:p>
        </w:tc>
        <w:tc>
          <w:tcPr>
            <w:tcW w:w="1280" w:type="dxa"/>
            <w:vAlign w:val="bottom"/>
            <w:gridSpan w:val="3"/>
          </w:tcPr>
          <w:p>
            <w:pPr>
              <w:jc w:val="center"/>
              <w:ind w:left="79"/>
              <w:spacing w:after="0"/>
              <w:rPr>
                <w:sz w:val="20"/>
                <w:szCs w:val="20"/>
                <w:color w:val="auto"/>
              </w:rPr>
            </w:pPr>
            <w:r>
              <w:rPr>
                <w:rFonts w:ascii="Arial" w:cs="Arial" w:eastAsia="Arial" w:hAnsi="Arial"/>
                <w:sz w:val="14"/>
                <w:szCs w:val="14"/>
                <w:color w:val="auto"/>
                <w:w w:val="91"/>
              </w:rPr>
              <w:t>December 31, 2019</w:t>
            </w:r>
          </w:p>
        </w:tc>
        <w:tc>
          <w:tcPr>
            <w:tcW w:w="280" w:type="dxa"/>
            <w:vAlign w:val="bottom"/>
            <w:tcBorders>
              <w:right w:val="single" w:sz="8" w:color="auto"/>
            </w:tcBorders>
          </w:tcPr>
          <w:p>
            <w:pPr>
              <w:spacing w:after="0"/>
              <w:rPr>
                <w:sz w:val="14"/>
                <w:szCs w:val="14"/>
                <w:color w:val="auto"/>
              </w:rPr>
            </w:pPr>
          </w:p>
        </w:tc>
        <w:tc>
          <w:tcPr>
            <w:tcW w:w="1220" w:type="dxa"/>
            <w:vAlign w:val="bottom"/>
            <w:gridSpan w:val="4"/>
          </w:tcPr>
          <w:p>
            <w:pPr>
              <w:jc w:val="center"/>
              <w:ind w:left="79"/>
              <w:spacing w:after="0"/>
              <w:rPr>
                <w:sz w:val="20"/>
                <w:szCs w:val="20"/>
                <w:color w:val="auto"/>
              </w:rPr>
            </w:pPr>
            <w:r>
              <w:rPr>
                <w:rFonts w:ascii="Arial" w:cs="Arial" w:eastAsia="Arial" w:hAnsi="Arial"/>
                <w:sz w:val="14"/>
                <w:szCs w:val="14"/>
                <w:color w:val="auto"/>
                <w:w w:val="95"/>
              </w:rPr>
              <w:t>to July 15,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19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As of December 31, 2020, the Company had $4.4 million of unrecognized unit-based compensation for time-based units, expected to be recognized over a weighted average remaining requisite period of 2.6 years.</w:t>
      </w:r>
    </w:p>
    <w:p>
      <w:pPr>
        <w:spacing w:after="0" w:line="319"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Retirement Plan</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35"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income tax provision are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00"/>
              <w:spacing w:after="0" w:line="123" w:lineRule="exact"/>
              <w:rPr>
                <w:sz w:val="20"/>
                <w:szCs w:val="20"/>
                <w:color w:val="auto"/>
              </w:rPr>
            </w:pPr>
            <w:r>
              <w:rPr>
                <w:rFonts w:ascii="Arial" w:cs="Arial" w:eastAsia="Arial" w:hAnsi="Arial"/>
                <w:sz w:val="14"/>
                <w:szCs w:val="14"/>
                <w:color w:val="auto"/>
                <w:w w:val="96"/>
              </w:rPr>
              <w:t>Year ended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4"/>
                <w:szCs w:val="14"/>
                <w:color w:val="auto"/>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36"/>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0" w:type="dxa"/>
            <w:vAlign w:val="bottom"/>
            <w:gridSpan w:val="4"/>
          </w:tcPr>
          <w:p>
            <w:pPr>
              <w:ind w:left="2280"/>
              <w:spacing w:after="0" w:line="149" w:lineRule="exact"/>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July 16, 2019 to</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ind w:left="220"/>
              <w:spacing w:after="0" w:line="149" w:lineRule="exact"/>
              <w:rPr>
                <w:sz w:val="20"/>
                <w:szCs w:val="20"/>
                <w:color w:val="auto"/>
              </w:rPr>
            </w:pPr>
            <w:r>
              <w:rPr>
                <w:rFonts w:ascii="Arial" w:cs="Arial" w:eastAsia="Arial" w:hAnsi="Arial"/>
                <w:sz w:val="14"/>
                <w:szCs w:val="14"/>
                <w:color w:val="auto"/>
                <w:w w:val="96"/>
              </w:rPr>
              <w:t>January 1, 2019 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color w:val="auto"/>
                <w:w w:val="91"/>
              </w:rPr>
              <w:t>December 31, 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tax provision:</w:t>
            </w:r>
          </w:p>
        </w:tc>
        <w:tc>
          <w:tcPr>
            <w:tcW w:w="2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Federal</w:t>
            </w:r>
          </w:p>
        </w:tc>
        <w:tc>
          <w:tcPr>
            <w:tcW w:w="246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Foreign</w:t>
            </w: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 provision</w:t>
            </w:r>
          </w:p>
        </w:tc>
        <w:tc>
          <w:tcPr>
            <w:tcW w:w="24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Deferred tax provision:</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4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Total deferred tax provision</w:t>
            </w:r>
          </w:p>
        </w:tc>
        <w:tc>
          <w:tcPr>
            <w:tcW w:w="2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24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60" w:type="dxa"/>
            <w:vAlign w:val="bottom"/>
            <w:gridSpan w:val="2"/>
          </w:tcPr>
          <w:p>
            <w:pPr>
              <w:ind w:left="1240"/>
              <w:spacing w:after="0"/>
              <w:rPr>
                <w:sz w:val="20"/>
                <w:szCs w:val="20"/>
                <w:color w:val="auto"/>
              </w:rPr>
            </w:pPr>
            <w:r>
              <w:rPr>
                <w:rFonts w:ascii="Arial" w:cs="Arial" w:eastAsia="Arial" w:hAnsi="Arial"/>
                <w:sz w:val="18"/>
                <w:szCs w:val="18"/>
                <w:color w:val="auto"/>
              </w:rPr>
              <w:t>F-43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components of the deferred tax assets are comprised of the following (in thousands):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Successor Company</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7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December 31, 2020</w:t>
            </w:r>
          </w:p>
        </w:tc>
        <w:tc>
          <w:tcPr>
            <w:tcW w:w="56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December 31, 2019</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Foreign, U.S. and state net operating loss carryforwards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c>
          <w:tcPr>
            <w:tcW w:w="6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9"/>
              </w:rPr>
              <w:t>212</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Unrealized foreign exchange losses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212</w:t>
            </w: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(1,430)</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212</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6"/>
              </w:rPr>
              <w:t>212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reconciliation of income tax expense computed at the statutory federal income tax rate to income taxes as reflected in the financial statements is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6040" w:type="dxa"/>
            <w:vAlign w:val="bottom"/>
          </w:tcPr>
          <w:p>
            <w:pPr>
              <w:spacing w:after="0"/>
              <w:rPr>
                <w:sz w:val="3"/>
                <w:szCs w:val="3"/>
                <w:color w:val="auto"/>
              </w:rPr>
            </w:pPr>
          </w:p>
        </w:tc>
        <w:tc>
          <w:tcPr>
            <w:tcW w:w="24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040" w:type="dxa"/>
            <w:vAlign w:val="bottom"/>
          </w:tcPr>
          <w:p>
            <w:pPr>
              <w:spacing w:after="0"/>
              <w:rPr>
                <w:sz w:val="10"/>
                <w:szCs w:val="10"/>
                <w:color w:val="auto"/>
              </w:rPr>
            </w:pPr>
          </w:p>
        </w:tc>
        <w:tc>
          <w:tcPr>
            <w:tcW w:w="2460" w:type="dxa"/>
            <w:vAlign w:val="bottom"/>
            <w:gridSpan w:val="4"/>
            <w:vMerge w:val="continue"/>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280" w:type="dxa"/>
            <w:vAlign w:val="bottom"/>
            <w:tcBorders>
              <w:left w:val="single" w:sz="8" w:color="auto"/>
            </w:tcBorders>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0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380" w:type="dxa"/>
            <w:vAlign w:val="bottom"/>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Year ended</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July 16, 2019 to</w:t>
            </w:r>
          </w:p>
        </w:tc>
        <w:tc>
          <w:tcPr>
            <w:tcW w:w="28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January 16, 2019 to</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December 31,</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December 31,</w:t>
            </w:r>
          </w:p>
        </w:tc>
        <w:tc>
          <w:tcPr>
            <w:tcW w:w="28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6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380" w:type="dxa"/>
            <w:vAlign w:val="bottom"/>
            <w:tcBorders>
              <w:bottom w:val="single" w:sz="8" w:color="CCEEFF"/>
            </w:tcBorders>
          </w:tcPr>
          <w:p>
            <w:pPr>
              <w:spacing w:after="0"/>
              <w:rPr>
                <w:sz w:val="14"/>
                <w:szCs w:val="14"/>
                <w:color w:val="auto"/>
              </w:rPr>
            </w:pPr>
          </w:p>
        </w:tc>
        <w:tc>
          <w:tcPr>
            <w:tcW w:w="280" w:type="dxa"/>
            <w:vAlign w:val="bottom"/>
            <w:tcBorders>
              <w:left w:val="single" w:sz="8" w:color="auto"/>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0.60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to return adjustments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0.46</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Pass through income not subject to tax</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(18.27)</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60"/>
              <w:spacing w:after="0"/>
              <w:rPr>
                <w:sz w:val="20"/>
                <w:szCs w:val="20"/>
                <w:color w:val="auto"/>
              </w:rPr>
            </w:pPr>
            <w:r>
              <w:rPr>
                <w:rFonts w:ascii="Arial" w:cs="Arial" w:eastAsia="Arial" w:hAnsi="Arial"/>
                <w:sz w:val="18"/>
                <w:szCs w:val="18"/>
                <w:color w:val="auto"/>
              </w:rPr>
              <w:t>Effective income tax rate</w:t>
            </w: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9"/>
                <w:szCs w:val="19"/>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w w:val="97"/>
              </w:rPr>
              <w:t>0.38%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300" w:firstLine="440"/>
        <w:spacing w:after="0" w:line="273" w:lineRule="auto"/>
        <w:rPr>
          <w:sz w:val="20"/>
          <w:szCs w:val="20"/>
          <w:color w:val="auto"/>
        </w:rPr>
      </w:pPr>
      <w:r>
        <w:rPr>
          <w:rFonts w:ascii="Arial" w:cs="Arial" w:eastAsia="Arial" w:hAnsi="Arial"/>
          <w:sz w:val="17"/>
          <w:szCs w:val="17"/>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 allowance of approximately $1.4 million has been established at December 31, 2020. The valuation allowance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increased by approximately $1.4 million in the tax year ended December 31, 2020. The increase in valuation allowance for the year ended December 31, 2020 primarily related to the net operating losses in the Swedish Monocl subsidiary.</w:t>
      </w:r>
    </w:p>
    <w:p>
      <w:pPr>
        <w:spacing w:after="0" w:line="170"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78"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7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4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20"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Unit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calculation of basic and diluted net income/(loss) per unit (“EPU”) for the Company’s common units: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6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Period from</w:t>
            </w:r>
          </w:p>
        </w:tc>
        <w:tc>
          <w:tcPr>
            <w:tcW w:w="120" w:type="dxa"/>
            <w:vAlign w:val="bottom"/>
          </w:tcPr>
          <w:p>
            <w:pPr>
              <w:spacing w:after="0"/>
              <w:rPr>
                <w:sz w:val="10"/>
                <w:szCs w:val="10"/>
                <w:color w:val="auto"/>
              </w:rPr>
            </w:pPr>
          </w:p>
        </w:tc>
      </w:tr>
      <w:tr>
        <w:trPr>
          <w:trHeight w:val="149"/>
        </w:trPr>
        <w:tc>
          <w:tcPr>
            <w:tcW w:w="6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9"/>
              </w:rPr>
              <w:t>Year Ended</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July 16, 2019 to</w:t>
            </w:r>
          </w:p>
        </w:tc>
      </w:tr>
      <w:tr>
        <w:trPr>
          <w:trHeight w:val="148"/>
        </w:trPr>
        <w:tc>
          <w:tcPr>
            <w:tcW w:w="6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67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2020</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Weighted-average units used to compute basic and diluted net loss per unit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127,682,376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126,794,329</w:t>
            </w:r>
          </w:p>
        </w:tc>
      </w:tr>
      <w:tr>
        <w:trPr>
          <w:trHeight w:val="27"/>
        </w:trPr>
        <w:tc>
          <w:tcPr>
            <w:tcW w:w="6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basic and diluted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period from July 16, 2019 to December 31, 2019 (Successor) and for the year ended December 31, 2020 (Successor) because to include them would be anti-dilutive due to the Company’s net loss during the period.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 and Geographic Data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by geographic area presented based upon the location of the customer are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3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35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Year Ended</w:t>
            </w:r>
          </w:p>
        </w:tc>
        <w:tc>
          <w:tcPr>
            <w:tcW w:w="1080" w:type="dxa"/>
            <w:vAlign w:val="bottom"/>
            <w:gridSpan w:val="3"/>
          </w:tcPr>
          <w:p>
            <w:pPr>
              <w:jc w:val="center"/>
              <w:ind w:left="39"/>
              <w:spacing w:after="0" w:line="149"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980" w:type="dxa"/>
            <w:vAlign w:val="bottom"/>
            <w:gridSpan w:val="3"/>
          </w:tcPr>
          <w:p>
            <w:pPr>
              <w:ind w:left="2160"/>
              <w:spacing w:after="0" w:line="149" w:lineRule="exact"/>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December 31,</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jc w:val="center"/>
              <w:ind w:left="79"/>
              <w:spacing w:after="0" w:line="149" w:lineRule="exact"/>
              <w:rPr>
                <w:sz w:val="20"/>
                <w:szCs w:val="20"/>
                <w:color w:val="auto"/>
              </w:rPr>
            </w:pPr>
            <w:r>
              <w:rPr>
                <w:rFonts w:ascii="Arial" w:cs="Arial" w:eastAsia="Arial" w:hAnsi="Arial"/>
                <w:sz w:val="14"/>
                <w:szCs w:val="14"/>
                <w:color w:val="auto"/>
                <w:w w:val="93"/>
              </w:rPr>
              <w:t>January 1, 2019 to</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color w:val="auto"/>
                <w:w w:val="89"/>
              </w:rPr>
              <w:t>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117,755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Rest of world</w:t>
            </w: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Successor Company</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60" w:type="dxa"/>
            <w:vAlign w:val="bottom"/>
            <w:gridSpan w:val="3"/>
          </w:tcPr>
          <w:p>
            <w:pPr>
              <w:spacing w:after="0" w:line="142" w:lineRule="exact"/>
              <w:rPr>
                <w:sz w:val="20"/>
                <w:szCs w:val="20"/>
                <w:color w:val="auto"/>
              </w:rPr>
            </w:pPr>
            <w:r>
              <w:rPr>
                <w:rFonts w:ascii="Arial" w:cs="Arial" w:eastAsia="Arial" w:hAnsi="Arial"/>
                <w:sz w:val="14"/>
                <w:szCs w:val="14"/>
                <w:color w:val="auto"/>
              </w:rPr>
              <w:t>December 31, 2020</w:t>
            </w: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December 31, 2019</w:t>
            </w:r>
          </w:p>
        </w:tc>
        <w:tc>
          <w:tcPr>
            <w:tcW w:w="40" w:type="dxa"/>
            <w:vAlign w:val="bottom"/>
          </w:tcPr>
          <w:p>
            <w:pPr>
              <w:spacing w:after="0"/>
              <w:rPr>
                <w:sz w:val="12"/>
                <w:szCs w:val="12"/>
                <w:color w:val="auto"/>
              </w:rPr>
            </w:pP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Rest of world</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long-lived assets</w:t>
            </w: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3,248</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2,558</w:t>
            </w:r>
          </w:p>
        </w:tc>
      </w:tr>
      <w:tr>
        <w:trPr>
          <w:trHeight w:val="20"/>
        </w:trPr>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engaged in revenue transactions within the ordinary course of business with entities affiliated with its private equity sponsors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with members of the Company’s board of directors. During the years ended December 31, 2020, and 2019 the Company recorded revenue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$0.4 million and $0.2 million, respectively. The associated receivables for the revenue transactions were $0.1 million and $0.1 million at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 respectively.</w:t>
      </w:r>
    </w:p>
    <w:p>
      <w:pPr>
        <w:spacing w:after="0" w:line="359" w:lineRule="exact"/>
        <w:rPr>
          <w:sz w:val="20"/>
          <w:szCs w:val="20"/>
          <w:color w:val="auto"/>
        </w:rPr>
      </w:pPr>
    </w:p>
    <w:p>
      <w:pPr>
        <w:ind w:left="540" w:hanging="424"/>
        <w:spacing w:after="0"/>
        <w:tabs>
          <w:tab w:leader="none" w:pos="5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has evaluated subsequent events through May 28, 2021, the date which the consolidated financial statements were issued, and did not identify any additional matters that require disclosure.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340360</wp:posOffset>
            </wp:positionV>
            <wp:extent cx="2143125" cy="436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2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6"/>
          <w:szCs w:val="16"/>
          <w:b w:val="1"/>
          <w:bCs w:val="1"/>
          <w:color w:val="auto"/>
        </w:rPr>
        <w:t>Until</w:t>
      </w:r>
      <w:r>
        <w:rPr>
          <w:sz w:val="20"/>
          <w:szCs w:val="20"/>
          <w:color w:val="auto"/>
        </w:rPr>
        <w:tab/>
      </w:r>
      <w:r>
        <w:rPr>
          <w:rFonts w:ascii="Arial" w:cs="Arial" w:eastAsia="Arial" w:hAnsi="Arial"/>
          <w:sz w:val="16"/>
          <w:szCs w:val="16"/>
          <w:b w:val="1"/>
          <w:bCs w:val="1"/>
          <w:color w:val="auto"/>
        </w:rPr>
        <w:t>, 2021 (25 days after the date of this prospectus), all dealers that buy, sell or trade in shares of these securities, whether or not</w:t>
      </w:r>
    </w:p>
    <w:p>
      <w:pPr>
        <w:spacing w:after="0" w:line="50"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401320</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461010</wp:posOffset>
            </wp:positionV>
            <wp:extent cx="699516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table sets forth all costs and expenses, other than the underwriting discount, paid or payable by us in connection with the sale of the Class A common stock being registered. All amounts shown are estimates except for the SEC registration fee, the Financial Industry Regulatory</w:t>
      </w:r>
    </w:p>
    <w:tbl>
      <w:tblPr>
        <w:tblLayout w:type="fixed"/>
        <w:tblInd w:w="12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Authority (“FINRA”) filing fee and the listing fee for the</w:t>
            </w:r>
          </w:p>
        </w:tc>
        <w:tc>
          <w:tcPr>
            <w:tcW w:w="3000" w:type="dxa"/>
            <w:vAlign w:val="bottom"/>
          </w:tcPr>
          <w:p>
            <w:pPr>
              <w:jc w:val="right"/>
              <w:ind w:right="277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4"/>
        </w:trPr>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b w:val="1"/>
                <w:bCs w:val="1"/>
                <w:color w:val="auto"/>
                <w:w w:val="91"/>
              </w:rPr>
              <w:t>Amount Paid or to be</w:t>
            </w:r>
          </w:p>
        </w:tc>
        <w:tc>
          <w:tcPr>
            <w:tcW w:w="140" w:type="dxa"/>
            <w:vAlign w:val="bottom"/>
          </w:tcPr>
          <w:p>
            <w:pPr>
              <w:spacing w:after="0"/>
              <w:rPr>
                <w:sz w:val="24"/>
                <w:szCs w:val="24"/>
                <w:color w:val="auto"/>
              </w:rPr>
            </w:pPr>
          </w:p>
        </w:tc>
      </w:tr>
      <w:tr>
        <w:trPr>
          <w:trHeight w:val="171"/>
        </w:trPr>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Paid</w:t>
            </w:r>
          </w:p>
        </w:tc>
        <w:tc>
          <w:tcPr>
            <w:tcW w:w="140" w:type="dxa"/>
            <w:vAlign w:val="bottom"/>
            <w:tcBorders>
              <w:bottom w:val="single" w:sz="8" w:color="CCEEFF"/>
            </w:tcBorders>
          </w:tcPr>
          <w:p>
            <w:pPr>
              <w:spacing w:after="0"/>
              <w:rPr>
                <w:sz w:val="14"/>
                <w:szCs w:val="14"/>
                <w:color w:val="auto"/>
              </w:rPr>
            </w:pPr>
          </w:p>
        </w:tc>
      </w:tr>
      <w:tr>
        <w:trPr>
          <w:trHeight w:val="209"/>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FINRA filing fee</w:t>
            </w:r>
          </w:p>
        </w:tc>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listing fee</w:t>
            </w:r>
          </w:p>
        </w:tc>
        <w:tc>
          <w:tcPr>
            <w:tcW w:w="3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2"/>
              </w:rPr>
              <w:t>Blue sky qualification fees and expenses</w:t>
            </w:r>
          </w:p>
        </w:tc>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Transfer agent and registrar fees and expenses</w:t>
            </w: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0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provided by amendment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Officers and Directors.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Registrant’s amended and restated bylaws will authorize the indemnification of its officers and directors, consistent with Section 145 of the DGCL, as amended. The Registrant intends to enter into indemnification agreements with each of its executive officers and directors. These agreements, among other things, will require the Registrant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Reference is made to Section 102(b)(7) of the DGCL, which enables a corporation in its original amended and restated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by the Registrant in transactions that were exempt from the requirements of the Securities Act in the last three years</w:t>
      </w:r>
      <w:r>
        <w:rPr>
          <w:rFonts w:ascii="Arial" w:cs="Arial" w:eastAsia="Arial" w:hAnsi="Arial"/>
          <w:sz w:val="18"/>
          <w:szCs w:val="18"/>
          <w:b w:val="1"/>
          <w:bCs w:val="1"/>
          <w:color w:val="auto"/>
        </w:rPr>
        <w:t>:</w:t>
      </w:r>
    </w:p>
    <w:p>
      <w:pPr>
        <w:spacing w:after="0" w:line="76" w:lineRule="exact"/>
        <w:rPr>
          <w:sz w:val="20"/>
          <w:szCs w:val="20"/>
          <w:color w:val="auto"/>
        </w:rPr>
      </w:pPr>
    </w:p>
    <w:p>
      <w:pPr>
        <w:ind w:left="540" w:right="180" w:hanging="316"/>
        <w:spacing w:after="0" w:line="263"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On July 19, 2019, in connection with the acquisition of the Registrant by funds managed by Advent International Corporation, the Registrant issued 126,725,743 Class A Units to its stockholders, comprising AIDH Holdings, Inc., funds affiliated with Spectrum Equity, Jason Krantz and AIDH Management Holdings, LLC, for $10.00 per unit for total consideration of $1,267,257,433.</w:t>
      </w:r>
    </w:p>
    <w:p>
      <w:pPr>
        <w:spacing w:after="0" w:line="89"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On September 13, 2019, the Registrant issued 1,348,146 Class B Units to Jason Krantz and 2,138,495 Class B Units to AIDH Management Holdings, LLC in connection with the adoption of and pursuant to the 2019 Plan.</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On December 2, 2019, in connection with the HSE acquisition, the Registrant issued 399,692 Class A Units to AIDH Management Holdings, LLC as indirect consideration for certain equity interests of Healthcare Sales Enablement, Inc.</w:t>
      </w:r>
    </w:p>
    <w:p>
      <w:pPr>
        <w:spacing w:after="0" w:line="75" w:lineRule="exact"/>
        <w:rPr>
          <w:rFonts w:ascii="Arial" w:cs="Arial" w:eastAsia="Arial" w:hAnsi="Arial"/>
          <w:sz w:val="18"/>
          <w:szCs w:val="18"/>
          <w:color w:val="auto"/>
        </w:rPr>
      </w:pPr>
    </w:p>
    <w:p>
      <w:pPr>
        <w:ind w:left="540" w:right="980" w:hanging="316"/>
        <w:spacing w:after="0" w:line="277"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On October 26, 2020, the Registrant issued 624,118 Class A Units to AIDH Management Holdings, LLC for $10.19 per unit for total consideration of $6,366,000.00.</w:t>
      </w:r>
    </w:p>
    <w:p>
      <w:pPr>
        <w:spacing w:after="0" w:line="75"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2,367,950 Class A Units to AIDH Management Holdings, LLC for $10.19 per unit for total consideration of $24,129,414.54.</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128,487 Class A Units to AIDH Management Holdings, LLC as indirect consideration for certain equity interests of Monocl Holding Company.</w:t>
      </w:r>
    </w:p>
    <w:p>
      <w:pPr>
        <w:spacing w:after="0" w:line="75"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On May 20, 2021, the Registrant issued 33,047 Class A units to AIDH Management Holdings, LLC for $15.13 per unit for total consideration of $500,000.</w:t>
      </w:r>
    </w:p>
    <w:p>
      <w:pPr>
        <w:spacing w:after="0" w:line="170"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The shares of Class A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840" w:type="dxa"/>
            <w:vAlign w:val="bottom"/>
          </w:tcPr>
          <w:p>
            <w:pPr>
              <w:spacing w:after="0"/>
              <w:rPr>
                <w:sz w:val="14"/>
                <w:szCs w:val="14"/>
                <w:color w:val="auto"/>
              </w:rPr>
            </w:pPr>
          </w:p>
        </w:tc>
        <w:tc>
          <w:tcPr>
            <w:tcW w:w="9140" w:type="dxa"/>
            <w:vAlign w:val="bottom"/>
            <w:gridSpan w:val="6"/>
          </w:tcPr>
          <w:p>
            <w:pPr>
              <w:ind w:left="43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72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19"/>
                <w:szCs w:val="19"/>
                <w:color w:val="auto"/>
              </w:rPr>
            </w:pPr>
          </w:p>
        </w:tc>
        <w:tc>
          <w:tcPr>
            <w:tcW w:w="3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95"/>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9"/>
              </w:rPr>
              <w:t>Form of Amended and Restated Certificate of Incorporation of Definitive Healthcare Corp. to be in effect prior to the</w:t>
            </w:r>
          </w:p>
        </w:tc>
      </w:tr>
      <w:tr>
        <w:trPr>
          <w:trHeight w:val="230"/>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consummation of the offering made under this Registration Statement.</w:t>
            </w:r>
          </w:p>
        </w:tc>
      </w:tr>
      <w:tr>
        <w:trPr>
          <w:trHeight w:val="310"/>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w w:val="91"/>
              </w:rPr>
              <w:t>Form of Amended and restated Bylaws of Definitive Healthcare Corp. to be in effect prior to the consummation of the offering</w:t>
            </w:r>
          </w:p>
        </w:tc>
      </w:tr>
      <w:tr>
        <w:trPr>
          <w:trHeight w:val="230"/>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made under this Registration Statement.</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3.3*</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Certificate of Incorporation of Definitive Healthcare Corp., as currently in effect.</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3.4*</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Bylaws of Definitive Healthcare Corp., as currently in effect.</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Form of Certificate of Class A Common Stock.</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Opinion of Weil, Gotshal &amp; Manges LLP.</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10.1*</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2019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10.2*</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2021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10.3*</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Form of Definitive Healthcare Corp. 2021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10.4*</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Form of equity award agreements under 2019 Equity Incentive Plan/2021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10.5*</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Form of 2021 Executive Officer and Director Indemnification Agreement for Definitive Healthcare Corp.</w:t>
            </w:r>
          </w:p>
        </w:tc>
      </w:tr>
      <w:tr>
        <w:trPr>
          <w:trHeight w:val="283"/>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10.6</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0000EE"/>
              </w:rPr>
              <w:t>Employment Agreement, dated February 18, 2015, by and between Definitive Healthcare, LLC and Jason Krantz.</w:t>
            </w: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10.7</w:t>
            </w:r>
          </w:p>
        </w:tc>
        <w:tc>
          <w:tcPr>
            <w:tcW w:w="840" w:type="dxa"/>
            <w:vAlign w:val="bottom"/>
          </w:tcPr>
          <w:p>
            <w:pPr>
              <w:spacing w:after="0"/>
              <w:rPr>
                <w:sz w:val="24"/>
                <w:szCs w:val="24"/>
                <w:color w:val="auto"/>
              </w:rPr>
            </w:pPr>
          </w:p>
        </w:tc>
        <w:tc>
          <w:tcPr>
            <w:tcW w:w="82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Employment Agreement, dated January 29, 2021, by and between Definitive Healthcare, LLC and Richard Booth.</w:t>
            </w:r>
          </w:p>
        </w:tc>
        <w:tc>
          <w:tcPr>
            <w:tcW w:w="900" w:type="dxa"/>
            <w:vAlign w:val="bottom"/>
            <w:gridSpan w:val="2"/>
          </w:tcPr>
          <w:p>
            <w:pPr>
              <w:spacing w:after="0"/>
              <w:rPr>
                <w:sz w:val="24"/>
                <w:szCs w:val="24"/>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10.8</w:t>
            </w:r>
          </w:p>
        </w:tc>
        <w:tc>
          <w:tcPr>
            <w:tcW w:w="840" w:type="dxa"/>
            <w:vAlign w:val="bottom"/>
          </w:tcPr>
          <w:p>
            <w:pPr>
              <w:spacing w:after="0"/>
              <w:rPr>
                <w:sz w:val="24"/>
                <w:szCs w:val="24"/>
                <w:color w:val="auto"/>
              </w:rPr>
            </w:pPr>
          </w:p>
        </w:tc>
        <w:tc>
          <w:tcPr>
            <w:tcW w:w="82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Employment Agreement, dated February 1, 2021, by and between Definitive Healthcare, LLC and David Samuels.</w:t>
            </w:r>
          </w:p>
        </w:tc>
        <w:tc>
          <w:tcPr>
            <w:tcW w:w="860" w:type="dxa"/>
            <w:vAlign w:val="bottom"/>
          </w:tcPr>
          <w:p>
            <w:pPr>
              <w:spacing w:after="0"/>
              <w:rPr>
                <w:sz w:val="24"/>
                <w:szCs w:val="24"/>
                <w:color w:val="auto"/>
              </w:rPr>
            </w:pPr>
          </w:p>
        </w:tc>
      </w:tr>
      <w:tr>
        <w:trPr>
          <w:trHeight w:val="345"/>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21.1*</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List of subsidiaries.</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23.1*</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23.2*</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Consent of Weil, Gotshal &amp; Manges LLP (included in Exhibit 5.1).</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24.1*</w:t>
            </w:r>
          </w:p>
        </w:tc>
        <w:tc>
          <w:tcPr>
            <w:tcW w:w="84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329" w:lineRule="exact"/>
        <w:rPr>
          <w:sz w:val="20"/>
          <w:szCs w:val="20"/>
          <w:color w:val="auto"/>
        </w:rPr>
      </w:pPr>
    </w:p>
    <w:p>
      <w:pPr>
        <w:ind w:left="560" w:right="8280" w:hanging="444"/>
        <w:spacing w:after="0" w:line="407" w:lineRule="auto"/>
        <w:tabs>
          <w:tab w:leader="none" w:pos="384"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540" w:hanging="424"/>
        <w:spacing w:after="0" w:line="286" w:lineRule="auto"/>
        <w:tabs>
          <w:tab w:leader="none" w:pos="5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0" w:lineRule="exact"/>
        <w:rPr>
          <w:rFonts w:ascii="Arial" w:cs="Arial" w:eastAsia="Arial" w:hAnsi="Arial"/>
          <w:sz w:val="17"/>
          <w:szCs w:val="17"/>
          <w:color w:val="auto"/>
        </w:rPr>
      </w:pPr>
    </w:p>
    <w:p>
      <w:pPr>
        <w:ind w:left="540" w:right="60" w:hanging="424"/>
        <w:spacing w:after="0" w:line="263"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w w:val="95"/>
              </w:rPr>
              <w:t>the undersigned, thereunto duly authorized in the City of Framingham, State of Massachusetts, on</w:t>
            </w:r>
          </w:p>
        </w:tc>
        <w:tc>
          <w:tcPr>
            <w:tcW w:w="3540" w:type="dxa"/>
            <w:vAlign w:val="bottom"/>
          </w:tcPr>
          <w:p>
            <w:pPr>
              <w:jc w:val="right"/>
              <w:ind w:right="2630"/>
              <w:spacing w:after="0"/>
              <w:rPr>
                <w:sz w:val="20"/>
                <w:szCs w:val="20"/>
                <w:color w:val="auto"/>
              </w:rPr>
            </w:pPr>
            <w:r>
              <w:rPr>
                <w:rFonts w:ascii="Arial" w:cs="Arial" w:eastAsia="Arial" w:hAnsi="Arial"/>
                <w:sz w:val="18"/>
                <w:szCs w:val="18"/>
                <w:color w:val="auto"/>
              </w:rPr>
              <w:t>, 2021.</w:t>
            </w:r>
          </w:p>
        </w:tc>
      </w:tr>
      <w:tr>
        <w:trPr>
          <w:trHeight w:val="445"/>
        </w:trPr>
        <w:tc>
          <w:tcPr>
            <w:tcW w:w="11020" w:type="dxa"/>
            <w:vAlign w:val="bottom"/>
            <w:gridSpan w:val="3"/>
          </w:tcPr>
          <w:p>
            <w:pPr>
              <w:ind w:left="6620"/>
              <w:spacing w:after="0"/>
              <w:rPr>
                <w:sz w:val="20"/>
                <w:szCs w:val="20"/>
                <w:color w:val="auto"/>
              </w:rPr>
            </w:pPr>
            <w:r>
              <w:rPr>
                <w:rFonts w:ascii="Arial" w:cs="Arial" w:eastAsia="Arial" w:hAnsi="Arial"/>
                <w:sz w:val="18"/>
                <w:szCs w:val="18"/>
                <w:color w:val="auto"/>
              </w:rPr>
              <w:t>Definitive Healthcare Corp.</w:t>
            </w:r>
          </w:p>
        </w:tc>
      </w:tr>
      <w:tr>
        <w:trPr>
          <w:trHeight w:val="432"/>
        </w:trPr>
        <w:tc>
          <w:tcPr>
            <w:tcW w:w="7480" w:type="dxa"/>
            <w:vAlign w:val="bottom"/>
            <w:gridSpan w:val="2"/>
          </w:tcPr>
          <w:p>
            <w:pPr>
              <w:ind w:left="6620"/>
              <w:spacing w:after="0"/>
              <w:rPr>
                <w:sz w:val="20"/>
                <w:szCs w:val="20"/>
                <w:color w:val="auto"/>
              </w:rPr>
            </w:pPr>
            <w:r>
              <w:rPr>
                <w:rFonts w:ascii="Arial" w:cs="Arial" w:eastAsia="Arial" w:hAnsi="Arial"/>
                <w:sz w:val="18"/>
                <w:szCs w:val="18"/>
                <w:color w:val="auto"/>
              </w:rPr>
              <w:t>By:</w:t>
            </w:r>
          </w:p>
        </w:tc>
        <w:tc>
          <w:tcPr>
            <w:tcW w:w="3540" w:type="dxa"/>
            <w:vAlign w:val="bottom"/>
          </w:tcPr>
          <w:p>
            <w:pPr>
              <w:spacing w:after="0"/>
              <w:rPr>
                <w:sz w:val="24"/>
                <w:szCs w:val="24"/>
                <w:color w:val="auto"/>
              </w:rPr>
            </w:pPr>
          </w:p>
        </w:tc>
      </w:tr>
      <w:tr>
        <w:trPr>
          <w:trHeight w:val="209"/>
        </w:trPr>
        <w:tc>
          <w:tcPr>
            <w:tcW w:w="69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Jason Krantz</w:t>
            </w:r>
          </w:p>
        </w:tc>
      </w:tr>
      <w:tr>
        <w:trPr>
          <w:trHeight w:val="230"/>
        </w:trPr>
        <w:tc>
          <w:tcPr>
            <w:tcW w:w="696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KNOW ALL MEN BY THESE PRESENTS, that each of the undersigned constitutes and appoints each of Jason Krantz or Richard Booth,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indicated on</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 2021.</w:t>
            </w:r>
          </w:p>
        </w:tc>
        <w:tc>
          <w:tcPr>
            <w:tcW w:w="1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60" w:type="dxa"/>
            <w:vAlign w:val="bottom"/>
          </w:tcPr>
          <w:p>
            <w:pPr>
              <w:spacing w:after="0"/>
              <w:rPr>
                <w:sz w:val="24"/>
                <w:szCs w:val="24"/>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9"/>
              </w:rPr>
              <w:t>Signature</w:t>
            </w:r>
          </w:p>
        </w:tc>
        <w:tc>
          <w:tcPr>
            <w:tcW w:w="3260" w:type="dxa"/>
            <w:vAlign w:val="bottom"/>
          </w:tcPr>
          <w:p>
            <w:pPr>
              <w:spacing w:after="0"/>
              <w:rPr>
                <w:sz w:val="24"/>
                <w:szCs w:val="24"/>
                <w:color w:val="auto"/>
              </w:rPr>
            </w:pPr>
          </w:p>
        </w:tc>
        <w:tc>
          <w:tcPr>
            <w:tcW w:w="186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2"/>
              </w:rPr>
              <w:t>President, Chief Executive Officer and 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89"/>
              </w:rPr>
              <w:t>Jason Krantz</w:t>
            </w:r>
          </w:p>
        </w:tc>
        <w:tc>
          <w:tcPr>
            <w:tcW w:w="5120" w:type="dxa"/>
            <w:vAlign w:val="bottom"/>
            <w:gridSpan w:val="3"/>
          </w:tcPr>
          <w:p>
            <w:pPr>
              <w:jc w:val="center"/>
              <w:ind w:left="161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17"/>
        </w:trPr>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109"/>
        </w:trPr>
        <w:tc>
          <w:tcPr>
            <w:tcW w:w="1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120" w:type="dxa"/>
            <w:vAlign w:val="bottom"/>
            <w:gridSpan w:val="3"/>
            <w:vMerge w:val="restart"/>
          </w:tcPr>
          <w:p>
            <w:pPr>
              <w:jc w:val="center"/>
              <w:ind w:left="1610"/>
              <w:spacing w:after="0"/>
              <w:rPr>
                <w:sz w:val="20"/>
                <w:szCs w:val="20"/>
                <w:color w:val="auto"/>
              </w:rPr>
            </w:pPr>
            <w:r>
              <w:rPr>
                <w:rFonts w:ascii="Arial" w:cs="Arial" w:eastAsia="Arial" w:hAnsi="Arial"/>
                <w:sz w:val="18"/>
                <w:szCs w:val="18"/>
                <w:color w:val="auto"/>
                <w:w w:val="93"/>
              </w:rPr>
              <w:t>(Principal Financial Officer and Principal</w:t>
            </w:r>
          </w:p>
        </w:tc>
        <w:tc>
          <w:tcPr>
            <w:tcW w:w="0" w:type="dxa"/>
            <w:vAlign w:val="bottom"/>
          </w:tcPr>
          <w:p>
            <w:pPr>
              <w:spacing w:after="0"/>
              <w:rPr>
                <w:sz w:val="1"/>
                <w:szCs w:val="1"/>
                <w:color w:val="auto"/>
              </w:rPr>
            </w:pPr>
          </w:p>
        </w:tc>
      </w:tr>
      <w:tr>
        <w:trPr>
          <w:trHeight w:val="87"/>
        </w:trPr>
        <w:tc>
          <w:tcPr>
            <w:tcW w:w="1260" w:type="dxa"/>
            <w:vAlign w:val="bottom"/>
          </w:tcPr>
          <w:p>
            <w:pPr>
              <w:spacing w:after="0"/>
              <w:rPr>
                <w:sz w:val="7"/>
                <w:szCs w:val="7"/>
                <w:color w:val="auto"/>
              </w:rPr>
            </w:pPr>
          </w:p>
        </w:tc>
        <w:tc>
          <w:tcPr>
            <w:tcW w:w="3160" w:type="dxa"/>
            <w:vAlign w:val="bottom"/>
            <w:gridSpan w:val="3"/>
            <w:vMerge w:val="restart"/>
          </w:tcPr>
          <w:p>
            <w:pPr>
              <w:jc w:val="center"/>
              <w:ind w:right="1260"/>
              <w:spacing w:after="0"/>
              <w:rPr>
                <w:sz w:val="20"/>
                <w:szCs w:val="20"/>
                <w:color w:val="auto"/>
              </w:rPr>
            </w:pPr>
            <w:r>
              <w:rPr>
                <w:rFonts w:ascii="Arial" w:cs="Arial" w:eastAsia="Arial" w:hAnsi="Arial"/>
                <w:sz w:val="18"/>
                <w:szCs w:val="18"/>
                <w:color w:val="auto"/>
                <w:w w:val="92"/>
              </w:rPr>
              <w:t>Richard Booth</w:t>
            </w:r>
          </w:p>
        </w:tc>
        <w:tc>
          <w:tcPr>
            <w:tcW w:w="5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5120" w:type="dxa"/>
            <w:vAlign w:val="bottom"/>
            <w:gridSpan w:val="3"/>
            <w:vMerge w:val="restart"/>
          </w:tcPr>
          <w:p>
            <w:pPr>
              <w:jc w:val="center"/>
              <w:ind w:left="1610"/>
              <w:spacing w:after="0"/>
              <w:rPr>
                <w:sz w:val="20"/>
                <w:szCs w:val="20"/>
                <w:color w:val="auto"/>
              </w:rPr>
            </w:pPr>
            <w:r>
              <w:rPr>
                <w:rFonts w:ascii="Arial" w:cs="Arial" w:eastAsia="Arial" w:hAnsi="Arial"/>
                <w:sz w:val="18"/>
                <w:szCs w:val="18"/>
                <w:color w:val="auto"/>
                <w:w w:val="95"/>
              </w:rPr>
              <w:t>Accounting Officer)</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5"/>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1"/>
              </w:rPr>
              <w:t>Jill Larsen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8"/>
              </w:rPr>
              <w:t>Chris Mitchell</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3"/>
              </w:rPr>
              <w:t>Jeff Haywood</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0"/>
              </w:rPr>
              <w:t>Lauren Young</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2"/>
              </w:rPr>
              <w:t>Chris Egan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20" w:type="dxa"/>
            <w:vAlign w:val="bottom"/>
            <w:gridSpan w:val="3"/>
          </w:tcPr>
          <w:p>
            <w:pPr>
              <w:ind w:left="94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40"/>
        <w:spacing w:after="0"/>
        <w:tabs>
          <w:tab w:leader="none" w:pos="77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John Maldonado</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Randall Winn</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Al Hamood</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Robert Musslewhite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139"/>
          </w:cols>
          <w:pgMar w:left="320" w:top="459" w:right="1440"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18, 2015, is made and entered into by and between Definitive Healthcare, LLC, a Massachusetts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and Jason Krantz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Reference is made to the Securities Purchase Agreement, dated on or about the date hereof, by and among the Definitive Healthcare Holdings, LLC (“</w:t>
      </w:r>
      <w:r>
        <w:rPr>
          <w:rFonts w:ascii="Arial" w:cs="Arial" w:eastAsia="Arial" w:hAnsi="Arial"/>
          <w:sz w:val="18"/>
          <w:szCs w:val="18"/>
          <w:b w:val="1"/>
          <w:bCs w:val="1"/>
          <w:color w:val="auto"/>
        </w:rPr>
        <w:t>Parent</w:t>
      </w:r>
      <w:r>
        <w:rPr>
          <w:rFonts w:ascii="Arial" w:cs="Arial" w:eastAsia="Arial" w:hAnsi="Arial"/>
          <w:sz w:val="18"/>
          <w:szCs w:val="18"/>
          <w:color w:val="auto"/>
        </w:rPr>
        <w:t>”), the Executive and the Investors named therein (as modified from time to time, the “</w:t>
      </w:r>
      <w:r>
        <w:rPr>
          <w:rFonts w:ascii="Arial" w:cs="Arial" w:eastAsia="Arial" w:hAnsi="Arial"/>
          <w:sz w:val="18"/>
          <w:szCs w:val="18"/>
          <w:b w:val="1"/>
          <w:bCs w:val="1"/>
          <w:color w:val="auto"/>
        </w:rPr>
        <w:t>Purchase Agreement</w:t>
      </w:r>
      <w:r>
        <w:rPr>
          <w:rFonts w:ascii="Arial" w:cs="Arial" w:eastAsia="Arial" w:hAnsi="Arial"/>
          <w:sz w:val="18"/>
          <w:szCs w:val="18"/>
          <w:color w:val="auto"/>
        </w:rPr>
        <w:t>”). The execution and delivery of this Agreement is a condition to the consummation of the transactions contemplated by the Purchase Agreement (which transactions are of substantial benefit to the Executive).</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Company desires to retain the services of the Executive pursuant to the terms and conditions set forth herein and the Executive wishes to continue to be employed by the Company on such terms and conditions. The Executive is and will remain a key Executive of the Company, with significant access to information concerning the Company and its business. The disclosure or misuse of such information or the engaging in competitive activities would cause substantial harm to the Company.</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166" w:lineRule="exact"/>
        <w:rPr>
          <w:sz w:val="20"/>
          <w:szCs w:val="20"/>
          <w:color w:val="auto"/>
        </w:rPr>
      </w:pPr>
    </w:p>
    <w:p>
      <w:pPr>
        <w:ind w:left="620" w:hanging="184"/>
        <w:spacing w:after="0"/>
        <w:tabs>
          <w:tab w:leader="none" w:pos="62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Term. Effective Date; Term</w:t>
      </w:r>
      <w:r>
        <w:rPr>
          <w:rFonts w:ascii="Arial" w:cs="Arial" w:eastAsia="Arial" w:hAnsi="Arial"/>
          <w:sz w:val="17"/>
          <w:szCs w:val="17"/>
          <w:color w:val="auto"/>
        </w:rPr>
        <w:t>. This Agreement shall become effective as of the Closing (as defined in the Purchase Agreement) of the</w:t>
      </w:r>
    </w:p>
    <w:p>
      <w:pPr>
        <w:spacing w:after="0" w:line="38" w:lineRule="exact"/>
        <w:rPr>
          <w:rFonts w:ascii="Arial" w:cs="Arial" w:eastAsia="Arial" w:hAnsi="Arial"/>
          <w:sz w:val="17"/>
          <w:szCs w:val="17"/>
          <w:b w:val="1"/>
          <w:bCs w:val="1"/>
          <w:color w:val="auto"/>
        </w:rPr>
      </w:pPr>
    </w:p>
    <w:p>
      <w:pPr>
        <w:ind w:right="140"/>
        <w:spacing w:after="0" w:line="260" w:lineRule="auto"/>
        <w:rPr>
          <w:rFonts w:ascii="Arial" w:cs="Arial" w:eastAsia="Arial" w:hAnsi="Arial"/>
          <w:sz w:val="17"/>
          <w:szCs w:val="17"/>
          <w:b w:val="1"/>
          <w:bCs w:val="1"/>
          <w:color w:val="auto"/>
        </w:rPr>
      </w:pPr>
      <w:r>
        <w:rPr>
          <w:rFonts w:ascii="Arial" w:cs="Arial" w:eastAsia="Arial" w:hAnsi="Arial"/>
          <w:sz w:val="18"/>
          <w:szCs w:val="18"/>
          <w:color w:val="auto"/>
        </w:rPr>
        <w:t>transactions contemplated by the Purchase Agreement. The Company shall employ the Executive hereunder until the Executive’s employment with the Company is terminated pursuant to Section 10. The Executive shall be employed on an “at will” basis.</w:t>
      </w:r>
    </w:p>
    <w:p>
      <w:pPr>
        <w:spacing w:after="0" w:line="181" w:lineRule="exact"/>
        <w:rPr>
          <w:rFonts w:ascii="Arial" w:cs="Arial" w:eastAsia="Arial" w:hAnsi="Arial"/>
          <w:sz w:val="17"/>
          <w:szCs w:val="17"/>
          <w:b w:val="1"/>
          <w:bCs w:val="1"/>
          <w:color w:val="auto"/>
        </w:rPr>
      </w:pPr>
    </w:p>
    <w:p>
      <w:pPr>
        <w:jc w:val="both"/>
        <w:ind w:right="360" w:firstLine="436"/>
        <w:spacing w:after="0" w:line="266" w:lineRule="auto"/>
        <w:tabs>
          <w:tab w:leader="none" w:pos="6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r>
        <w:rPr>
          <w:rFonts w:ascii="Arial" w:cs="Arial" w:eastAsia="Arial" w:hAnsi="Arial"/>
          <w:sz w:val="18"/>
          <w:szCs w:val="18"/>
          <w:color w:val="auto"/>
        </w:rPr>
        <w:t>. The Executive will initially serve as the Chief Executive Officer of the Company and shall have such duties of an executive nature,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such position, as the Management Board of Parent (the “</w:t>
      </w:r>
      <w:r>
        <w:rPr>
          <w:rFonts w:ascii="Arial" w:cs="Arial" w:eastAsia="Arial" w:hAnsi="Arial"/>
          <w:sz w:val="18"/>
          <w:szCs w:val="18"/>
          <w:b w:val="1"/>
          <w:bCs w:val="1"/>
          <w:color w:val="auto"/>
        </w:rPr>
        <w:t>Board</w:t>
      </w:r>
      <w:r>
        <w:rPr>
          <w:rFonts w:ascii="Arial" w:cs="Arial" w:eastAsia="Arial" w:hAnsi="Arial"/>
          <w:sz w:val="18"/>
          <w:szCs w:val="18"/>
          <w:color w:val="auto"/>
        </w:rPr>
        <w:t>”) shall determine from time to time. The Executive will report to the Board.</w:t>
      </w:r>
    </w:p>
    <w:p>
      <w:pPr>
        <w:spacing w:after="0" w:line="175" w:lineRule="exact"/>
        <w:rPr>
          <w:rFonts w:ascii="Arial" w:cs="Arial" w:eastAsia="Arial" w:hAnsi="Arial"/>
          <w:sz w:val="18"/>
          <w:szCs w:val="18"/>
          <w:b w:val="1"/>
          <w:bCs w:val="1"/>
          <w:color w:val="auto"/>
        </w:rPr>
      </w:pPr>
    </w:p>
    <w:p>
      <w:pPr>
        <w:ind w:left="620" w:hanging="184"/>
        <w:spacing w:after="0"/>
        <w:tabs>
          <w:tab w:leader="none" w:pos="6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Full Time; Best Efforts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20" w:firstLine="987"/>
        <w:spacing w:after="0" w:line="263" w:lineRule="auto"/>
        <w:tabs>
          <w:tab w:leader="none" w:pos="1246"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The Executive shall use the Executive’s best efforts to promote the interests of the Company and shall devote the Executive’s full business time and efforts to its business and affairs. The Executive shall not engage in any other activity that could reasonably be expected to interfere with the performance of the Executive’s duties, services and responsibilities hereunder.</w:t>
      </w:r>
    </w:p>
    <w:p>
      <w:pPr>
        <w:spacing w:after="0" w:line="183" w:lineRule="exact"/>
        <w:rPr>
          <w:rFonts w:ascii="Arial" w:cs="Arial" w:eastAsia="Arial" w:hAnsi="Arial"/>
          <w:sz w:val="18"/>
          <w:szCs w:val="18"/>
          <w:b w:val="1"/>
          <w:bCs w:val="1"/>
          <w:color w:val="auto"/>
        </w:rPr>
      </w:pPr>
    </w:p>
    <w:p>
      <w:pPr>
        <w:ind w:right="60" w:firstLine="987"/>
        <w:spacing w:after="0" w:line="263" w:lineRule="auto"/>
        <w:tabs>
          <w:tab w:leader="none" w:pos="1256"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but subject to Section 3(e), Executive is permitted to continue to hold investments in and serve on the board of directors of Xtelligent Media, LLC, Energy Acuity, LLC and Hemediagnostics Lab, LLC (together, the “</w:t>
      </w:r>
      <w:r>
        <w:rPr>
          <w:rFonts w:ascii="Arial" w:cs="Arial" w:eastAsia="Arial" w:hAnsi="Arial"/>
          <w:sz w:val="18"/>
          <w:szCs w:val="18"/>
          <w:b w:val="1"/>
          <w:bCs w:val="1"/>
          <w:color w:val="auto"/>
        </w:rPr>
        <w:t>Existing Investments</w:t>
      </w:r>
      <w:r>
        <w:rPr>
          <w:rFonts w:ascii="Arial" w:cs="Arial" w:eastAsia="Arial" w:hAnsi="Arial"/>
          <w:sz w:val="18"/>
          <w:szCs w:val="18"/>
          <w:color w:val="auto"/>
        </w:rPr>
        <w:t>”) and to devote the necessary time and efforts to such board duties and Executive’s</w:t>
      </w:r>
    </w:p>
    <w:p>
      <w:pPr>
        <w:sectPr>
          <w:pgSz w:w="11900" w:h="16838" w:orient="portrait"/>
          <w:cols w:equalWidth="0" w:num="1">
            <w:col w:w="11020"/>
          </w:cols>
          <w:pgMar w:left="440" w:top="121" w:right="439" w:bottom="1440" w:gutter="0" w:footer="0" w:header="0"/>
        </w:sectPr>
      </w:pPr>
    </w:p>
    <w:bookmarkStart w:id="235" w:name="page236"/>
    <w:bookmarkEnd w:id="235"/>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interests as an investor in each such entity as is prudent and necessary in his sole discretion; provided that such service, time and effort, in the good faith judgment of the Management Board, does not interfere with (i) the Executive’s performance of his duties, services and responsibilities hereunder or as a Manager of Parent or (ii) the Company’s day-to-day operations.</w:t>
      </w:r>
    </w:p>
    <w:p>
      <w:pPr>
        <w:spacing w:after="0" w:line="184" w:lineRule="exact"/>
        <w:rPr>
          <w:sz w:val="20"/>
          <w:szCs w:val="20"/>
          <w:color w:val="auto"/>
        </w:rPr>
      </w:pPr>
    </w:p>
    <w:p>
      <w:pPr>
        <w:ind w:firstLine="987"/>
        <w:spacing w:after="0" w:line="257" w:lineRule="auto"/>
        <w:tabs>
          <w:tab w:leader="none" w:pos="1236" w:val="left"/>
        </w:tabs>
        <w:numPr>
          <w:ilvl w:val="1"/>
          <w:numId w:val="175"/>
        </w:numPr>
        <w:rPr>
          <w:rFonts w:ascii="Arial" w:cs="Arial" w:eastAsia="Arial" w:hAnsi="Arial"/>
          <w:sz w:val="18"/>
          <w:szCs w:val="18"/>
          <w:b w:val="1"/>
          <w:bCs w:val="1"/>
          <w:color w:val="auto"/>
        </w:rPr>
      </w:pPr>
      <w:r>
        <w:rPr>
          <w:rFonts w:ascii="Arial" w:cs="Arial" w:eastAsia="Arial" w:hAnsi="Arial"/>
          <w:sz w:val="18"/>
          <w:szCs w:val="18"/>
          <w:color w:val="auto"/>
        </w:rPr>
        <w:t>Further, it is expressly understood and agreed that Executive may continue to make private investments in other entities (i.e., other than the Existing Investments) and/or serve on the board of directors of such investment targets (the “</w:t>
      </w:r>
      <w:r>
        <w:rPr>
          <w:rFonts w:ascii="Arial" w:cs="Arial" w:eastAsia="Arial" w:hAnsi="Arial"/>
          <w:sz w:val="18"/>
          <w:szCs w:val="18"/>
          <w:b w:val="1"/>
          <w:bCs w:val="1"/>
          <w:color w:val="auto"/>
        </w:rPr>
        <w:t>Future Investments</w:t>
      </w:r>
      <w:r>
        <w:rPr>
          <w:rFonts w:ascii="Arial" w:cs="Arial" w:eastAsia="Arial" w:hAnsi="Arial"/>
          <w:sz w:val="18"/>
          <w:szCs w:val="18"/>
          <w:color w:val="auto"/>
        </w:rPr>
        <w:t>”); provided that any such investment or service (together with any service, time or effort with respect to the Existing Investments), in the good faith judgment of the Board, does not or could not reasonably be expected to interfere with (i) the Executive’s performance of his duties, services and responsibilities hereunder or as a Manager of Parent or (ii) the Company’s day-to-day operations.</w:t>
      </w:r>
    </w:p>
    <w:p>
      <w:pPr>
        <w:spacing w:after="0" w:line="187" w:lineRule="exact"/>
        <w:rPr>
          <w:rFonts w:ascii="Arial" w:cs="Arial" w:eastAsia="Arial" w:hAnsi="Arial"/>
          <w:sz w:val="18"/>
          <w:szCs w:val="18"/>
          <w:b w:val="1"/>
          <w:bCs w:val="1"/>
          <w:color w:val="auto"/>
        </w:rPr>
      </w:pPr>
    </w:p>
    <w:p>
      <w:pPr>
        <w:ind w:right="100" w:firstLine="987"/>
        <w:spacing w:after="0" w:line="275" w:lineRule="auto"/>
        <w:tabs>
          <w:tab w:leader="none" w:pos="1256" w:val="left"/>
        </w:tabs>
        <w:numPr>
          <w:ilvl w:val="1"/>
          <w:numId w:val="175"/>
        </w:numPr>
        <w:rPr>
          <w:rFonts w:ascii="Arial" w:cs="Arial" w:eastAsia="Arial" w:hAnsi="Arial"/>
          <w:sz w:val="17"/>
          <w:szCs w:val="17"/>
          <w:b w:val="1"/>
          <w:bCs w:val="1"/>
          <w:color w:val="auto"/>
        </w:rPr>
      </w:pPr>
      <w:r>
        <w:rPr>
          <w:rFonts w:ascii="Arial" w:cs="Arial" w:eastAsia="Arial" w:hAnsi="Arial"/>
          <w:sz w:val="17"/>
          <w:szCs w:val="17"/>
          <w:color w:val="auto"/>
        </w:rPr>
        <w:t>During the Executive’s employment, and prior to consummating any (i) further investment in an Existing Investment (except under circumstances where the board of the Existing Investment entity has determined in good faith that such entity has insufficient funds to operate in the ordinary course for at least six (6) months) or (ii) Future Investment, the Executive shall obtain the Board’s prior approval. Such determination shall be made by the Board within twenty (20) days of Executive delivering written notice to the Board with respect thereto. If the Board does not respond within such twenty (20) day period, such investment shall be deemed to have been approved.</w:t>
      </w:r>
    </w:p>
    <w:p>
      <w:pPr>
        <w:spacing w:after="0" w:line="176" w:lineRule="exact"/>
        <w:rPr>
          <w:rFonts w:ascii="Arial" w:cs="Arial" w:eastAsia="Arial" w:hAnsi="Arial"/>
          <w:sz w:val="17"/>
          <w:szCs w:val="17"/>
          <w:b w:val="1"/>
          <w:bCs w:val="1"/>
          <w:color w:val="auto"/>
        </w:rPr>
      </w:pPr>
    </w:p>
    <w:p>
      <w:pPr>
        <w:ind w:right="160" w:firstLine="987"/>
        <w:spacing w:after="0" w:line="301" w:lineRule="auto"/>
        <w:tabs>
          <w:tab w:leader="none" w:pos="1236" w:val="left"/>
        </w:tabs>
        <w:numPr>
          <w:ilvl w:val="1"/>
          <w:numId w:val="175"/>
        </w:numPr>
        <w:rPr>
          <w:rFonts w:ascii="Arial" w:cs="Arial" w:eastAsia="Arial" w:hAnsi="Arial"/>
          <w:sz w:val="16"/>
          <w:szCs w:val="16"/>
          <w:b w:val="1"/>
          <w:bCs w:val="1"/>
          <w:color w:val="auto"/>
        </w:rPr>
      </w:pPr>
      <w:r>
        <w:rPr>
          <w:rFonts w:ascii="Arial" w:cs="Arial" w:eastAsia="Arial" w:hAnsi="Arial"/>
          <w:sz w:val="16"/>
          <w:szCs w:val="16"/>
          <w:color w:val="auto"/>
        </w:rPr>
        <w:t>Without limiting the generality of the foregoing, in the event the Board determines at any time, in its reasonable discretion, that any Existing Investment or Future Investment competes or could reasonably be expected to compete with the Company or its business, the Executive shall cease to serve on the board (or similar governing body) of such Existing Investment or Future Investment and, if the Board determines it to be competitive, shall make no further investments in such Existing or Future Investment without the prior written consent of the Board.</w:t>
      </w:r>
    </w:p>
    <w:p>
      <w:pPr>
        <w:spacing w:after="0" w:line="153" w:lineRule="exact"/>
        <w:rPr>
          <w:rFonts w:ascii="Arial" w:cs="Arial" w:eastAsia="Arial" w:hAnsi="Arial"/>
          <w:sz w:val="16"/>
          <w:szCs w:val="16"/>
          <w:b w:val="1"/>
          <w:bCs w:val="1"/>
          <w:color w:val="auto"/>
        </w:rPr>
      </w:pPr>
    </w:p>
    <w:p>
      <w:pPr>
        <w:ind w:left="620" w:hanging="184"/>
        <w:spacing w:after="0"/>
        <w:tabs>
          <w:tab w:leader="none" w:pos="62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 During the Term, the Executive shall be entitled to compensation and benefits as follows:</w:t>
      </w:r>
    </w:p>
    <w:p>
      <w:pPr>
        <w:spacing w:after="0" w:line="225" w:lineRule="exact"/>
        <w:rPr>
          <w:rFonts w:ascii="Arial" w:cs="Arial" w:eastAsia="Arial" w:hAnsi="Arial"/>
          <w:sz w:val="18"/>
          <w:szCs w:val="18"/>
          <w:b w:val="1"/>
          <w:bCs w:val="1"/>
          <w:color w:val="auto"/>
        </w:rPr>
      </w:pPr>
    </w:p>
    <w:p>
      <w:pPr>
        <w:ind w:right="60" w:firstLine="987"/>
        <w:spacing w:after="0" w:line="266" w:lineRule="auto"/>
        <w:tabs>
          <w:tab w:leader="none" w:pos="1246" w:val="left"/>
        </w:tabs>
        <w:numPr>
          <w:ilvl w:val="1"/>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The Executive will receive a salary at the rate of $275,000 annually (the “</w:t>
      </w:r>
      <w:r>
        <w:rPr>
          <w:rFonts w:ascii="Arial" w:cs="Arial" w:eastAsia="Arial" w:hAnsi="Arial"/>
          <w:sz w:val="18"/>
          <w:szCs w:val="18"/>
          <w:b w:val="1"/>
          <w:bCs w:val="1"/>
          <w:color w:val="auto"/>
        </w:rPr>
        <w:t>Base Salary</w:t>
      </w:r>
      <w:r>
        <w:rPr>
          <w:rFonts w:ascii="Arial" w:cs="Arial" w:eastAsia="Arial" w:hAnsi="Arial"/>
          <w:sz w:val="18"/>
          <w:szCs w:val="18"/>
          <w:color w:val="auto"/>
        </w:rPr>
        <w:t>”),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practices. The Compensation Committee of the Board shall determine, on an annual basis and in its sole good faith discretion, whether to increase the Executive’s Base Salary.</w:t>
      </w:r>
    </w:p>
    <w:p>
      <w:pPr>
        <w:spacing w:after="0" w:line="175" w:lineRule="exact"/>
        <w:rPr>
          <w:rFonts w:ascii="Arial" w:cs="Arial" w:eastAsia="Arial" w:hAnsi="Arial"/>
          <w:sz w:val="18"/>
          <w:szCs w:val="18"/>
          <w:b w:val="1"/>
          <w:bCs w:val="1"/>
          <w:color w:val="auto"/>
        </w:rPr>
      </w:pPr>
    </w:p>
    <w:p>
      <w:pPr>
        <w:ind w:right="220" w:firstLine="987"/>
        <w:spacing w:after="0" w:line="274" w:lineRule="auto"/>
        <w:tabs>
          <w:tab w:leader="none" w:pos="1256" w:val="left"/>
        </w:tabs>
        <w:numPr>
          <w:ilvl w:val="1"/>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Bonus</w:t>
      </w:r>
      <w:r>
        <w:rPr>
          <w:rFonts w:ascii="Arial" w:cs="Arial" w:eastAsia="Arial" w:hAnsi="Arial"/>
          <w:sz w:val="17"/>
          <w:szCs w:val="17"/>
          <w:color w:val="auto"/>
        </w:rPr>
        <w:t>. The Executive shall be eligible to receive a cash bonus based on the Executive’s performance relative to objective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subjective performance criteria established by the Board (or the compensation committee thereof) from time to time. Unless otherwise determined by the Board, Executive’s target bonus for each fiscal year shall be 60% of the Base Salary and shall be earned as the Executive achieves or exceeds the performance criteria established by the Board. The Board (or the compensation committee thereof) shall determine in good faith the amount of the Executive’s bonus, if any, and such determination shall be binding and conclusive on the Executive. In all cases, the Bonus for any given year (or any partial year) will be paid to the Executive within 30 days following receipt by the Board of the Company’s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36" w:name="page237"/>
    <w:bookmarkEnd w:id="236"/>
    <w:p>
      <w:pPr>
        <w:ind w:right="2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audited financial statements for the calendar year with respect to which the Bonus may have been earned, typically by April 30 (but in no event later than July 1) of the next succeeding year. The Executive must be actively employed by the Company through and including the date on which the Executive’s bonus, if any, is earned (which date shall be December 31 of any given year) to be eligible to receive it (provided, however, that if the Executive is eligible to receive Severance, the Executive shall nonetheless be entitled to prorated Bonus as set forth in the definition of Severance).</w:t>
      </w:r>
    </w:p>
    <w:p>
      <w:pPr>
        <w:spacing w:after="0" w:line="153" w:lineRule="exact"/>
        <w:rPr>
          <w:sz w:val="20"/>
          <w:szCs w:val="20"/>
          <w:color w:val="auto"/>
        </w:rPr>
      </w:pPr>
    </w:p>
    <w:p>
      <w:pPr>
        <w:ind w:right="60" w:firstLine="987"/>
        <w:spacing w:after="0" w:line="261" w:lineRule="auto"/>
        <w:tabs>
          <w:tab w:leader="none" w:pos="1236"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In addition to the Base Salary and the Bonus (if any), the Executive shall be entitled to participate in Company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generally available to the Company’s executive employees in accordance with and subject to the then existing terms and conditions of such plans. In accordance with past practice, the Company shall continue to pay one hundred percent (100%) of all health insurance premiums for Executive and his family.</w:t>
      </w:r>
    </w:p>
    <w:p>
      <w:pPr>
        <w:spacing w:after="0" w:line="179" w:lineRule="exact"/>
        <w:rPr>
          <w:rFonts w:ascii="Arial" w:cs="Arial" w:eastAsia="Arial" w:hAnsi="Arial"/>
          <w:sz w:val="18"/>
          <w:szCs w:val="18"/>
          <w:b w:val="1"/>
          <w:bCs w:val="1"/>
          <w:color w:val="auto"/>
        </w:rPr>
      </w:pPr>
    </w:p>
    <w:p>
      <w:pPr>
        <w:ind w:right="200" w:firstLine="987"/>
        <w:spacing w:after="0" w:line="282" w:lineRule="auto"/>
        <w:tabs>
          <w:tab w:leader="none" w:pos="1256"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Paid Time Off</w:t>
      </w:r>
      <w:r>
        <w:rPr>
          <w:rFonts w:ascii="Arial" w:cs="Arial" w:eastAsia="Arial" w:hAnsi="Arial"/>
          <w:sz w:val="18"/>
          <w:szCs w:val="18"/>
          <w:color w:val="auto"/>
        </w:rPr>
        <w:t>. The Executive shall be entitled to five (5) weeks of paid time off (PTO) per year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PTO policies as in effect from time to time as determined by the Board (or the Compensation Committee thereof).</w:t>
      </w:r>
    </w:p>
    <w:p>
      <w:pPr>
        <w:spacing w:after="0" w:line="161" w:lineRule="exact"/>
        <w:rPr>
          <w:rFonts w:ascii="Arial" w:cs="Arial" w:eastAsia="Arial" w:hAnsi="Arial"/>
          <w:sz w:val="18"/>
          <w:szCs w:val="18"/>
          <w:b w:val="1"/>
          <w:bCs w:val="1"/>
          <w:color w:val="auto"/>
        </w:rPr>
      </w:pPr>
    </w:p>
    <w:p>
      <w:pPr>
        <w:ind w:firstLine="987"/>
        <w:spacing w:after="0" w:line="271" w:lineRule="auto"/>
        <w:tabs>
          <w:tab w:leader="none" w:pos="1236" w:val="left"/>
        </w:tabs>
        <w:numPr>
          <w:ilvl w:val="1"/>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Reimbursement of Documented Business Expenses</w:t>
      </w:r>
      <w:r>
        <w:rPr>
          <w:rFonts w:ascii="Arial" w:cs="Arial" w:eastAsia="Arial" w:hAnsi="Arial"/>
          <w:sz w:val="17"/>
          <w:szCs w:val="17"/>
          <w:color w:val="auto"/>
        </w:rPr>
        <w:t>. The Executive will be entitled to reimbursement of all reasonable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in the ordinary course of business on behalf of the Company, subject to the presentation of appropriate documentation and approved by, or in accordance with policies established by, the Board. If any reimbursement provided by the Company pursuant to this Agreement would constitute deferred compensation for purposes of Section 409A of the Internal Revenue Code of 1986, as amended (together with the regulations and guidance thereunder, “</w:t>
      </w:r>
      <w:r>
        <w:rPr>
          <w:rFonts w:ascii="Arial" w:cs="Arial" w:eastAsia="Arial" w:hAnsi="Arial"/>
          <w:sz w:val="17"/>
          <w:szCs w:val="17"/>
          <w:b w:val="1"/>
          <w:bCs w:val="1"/>
          <w:color w:val="auto"/>
        </w:rPr>
        <w:t>Section 409A</w:t>
      </w:r>
      <w:r>
        <w:rPr>
          <w:rFonts w:ascii="Arial" w:cs="Arial" w:eastAsia="Arial" w:hAnsi="Arial"/>
          <w:sz w:val="17"/>
          <w:szCs w:val="17"/>
          <w:color w:val="auto"/>
        </w:rPr>
        <w:t>”), such reimbursement shall be subject to the following rules: (i) the amounts to be reimbursed shall be determined pursuant to the terms of the applicable benefit plan, policy or agreement; (ii) the amounts eligible for reimbursement during any calendar year may not affect the expenses eligible for reimbursement in any other calendar year; (iii) any reimbursement of an eligible expense shall be made on or before the last day of the calendar year following the calendar year in which the expense was incurred; and (iv) the Executive’s right to reimbursement is not subject to liquidation or exchange for cash or another benefit.</w:t>
      </w:r>
    </w:p>
    <w:p>
      <w:pPr>
        <w:spacing w:after="0" w:line="173" w:lineRule="exact"/>
        <w:rPr>
          <w:rFonts w:ascii="Arial" w:cs="Arial" w:eastAsia="Arial" w:hAnsi="Arial"/>
          <w:sz w:val="17"/>
          <w:szCs w:val="17"/>
          <w:b w:val="1"/>
          <w:bCs w:val="1"/>
          <w:color w:val="auto"/>
        </w:rPr>
      </w:pPr>
    </w:p>
    <w:p>
      <w:pPr>
        <w:ind w:right="660" w:firstLine="987"/>
        <w:spacing w:after="0" w:line="282" w:lineRule="auto"/>
        <w:tabs>
          <w:tab w:leader="none" w:pos="1216"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shall withhold from compensation payable to the Executive all applicable federal, state and local</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taxes.</w:t>
      </w:r>
    </w:p>
    <w:p>
      <w:pPr>
        <w:spacing w:after="0" w:line="161" w:lineRule="exact"/>
        <w:rPr>
          <w:rFonts w:ascii="Arial" w:cs="Arial" w:eastAsia="Arial" w:hAnsi="Arial"/>
          <w:sz w:val="18"/>
          <w:szCs w:val="18"/>
          <w:b w:val="1"/>
          <w:bCs w:val="1"/>
          <w:color w:val="auto"/>
        </w:rPr>
      </w:pPr>
    </w:p>
    <w:p>
      <w:pPr>
        <w:ind w:right="120" w:firstLine="436"/>
        <w:spacing w:after="0" w:line="282" w:lineRule="auto"/>
        <w:tabs>
          <w:tab w:leader="none" w:pos="62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Intellectual Property</w:t>
      </w:r>
      <w:r>
        <w:rPr>
          <w:rFonts w:ascii="Arial" w:cs="Arial" w:eastAsia="Arial" w:hAnsi="Arial"/>
          <w:sz w:val="18"/>
          <w:szCs w:val="18"/>
          <w:color w:val="auto"/>
        </w:rPr>
        <w:t>. The Executive agrees that during the Executive’s employment or other business relationship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whether or not under this Agreement, and at all times thereafter:</w:t>
      </w:r>
    </w:p>
    <w:p>
      <w:pPr>
        <w:spacing w:after="0" w:line="165" w:lineRule="exact"/>
        <w:rPr>
          <w:rFonts w:ascii="Arial" w:cs="Arial" w:eastAsia="Arial" w:hAnsi="Arial"/>
          <w:sz w:val="18"/>
          <w:szCs w:val="18"/>
          <w:b w:val="1"/>
          <w:bCs w:val="1"/>
          <w:color w:val="auto"/>
        </w:rPr>
      </w:pPr>
    </w:p>
    <w:p>
      <w:pPr>
        <w:ind w:right="160" w:firstLine="987"/>
        <w:spacing w:after="0" w:line="257" w:lineRule="auto"/>
        <w:tabs>
          <w:tab w:leader="none" w:pos="1243"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The Executive will not at any time, directly or indirectly, disclose or divulge any Confidential Information, except as required in connection with the performance of the Executive’s duties for the Company, and except to the extent required by law (but only after the Executive has provided the Company with reasonable notice and opportunity to take action against any legally required disclosure). As used herein, “</w:t>
      </w:r>
      <w:r>
        <w:rPr>
          <w:rFonts w:ascii="Arial" w:cs="Arial" w:eastAsia="Arial" w:hAnsi="Arial"/>
          <w:sz w:val="18"/>
          <w:szCs w:val="18"/>
          <w:b w:val="1"/>
          <w:b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means all trade secrets and all other information of a business, financial, marketing, technical or other nature relating to the business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including, without limitation, any customer or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37" w:name="page238"/>
    <w:bookmarkEnd w:id="237"/>
    <w:p>
      <w:pPr>
        <w:ind w:right="3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vendor lists, prospective customer names, financial statements and projections, know-how, pricing policies, operational methods, methods of doing business, technical processes, formulae, designs and design projects, inventions, computer hardware, software programs, business plans and projects pertaining to the Company and including any information of others that the Company has agreed to keep confidential; </w:t>
      </w:r>
      <w:r>
        <w:rPr>
          <w:rFonts w:ascii="Arial" w:cs="Arial" w:eastAsia="Arial" w:hAnsi="Arial"/>
          <w:sz w:val="16"/>
          <w:szCs w:val="16"/>
          <w:i w:val="1"/>
          <w:iCs w:val="1"/>
          <w:color w:val="auto"/>
        </w:rPr>
        <w:t>provided</w:t>
      </w:r>
      <w:r>
        <w:rPr>
          <w:rFonts w:ascii="Arial" w:cs="Arial" w:eastAsia="Arial" w:hAnsi="Arial"/>
          <w:sz w:val="16"/>
          <w:szCs w:val="16"/>
          <w:color w:val="auto"/>
        </w:rPr>
        <w:t>, that Confidential Information shall not include any information that has entered or enters the public domain through no fault of the Executive.</w:t>
      </w:r>
    </w:p>
    <w:p>
      <w:pPr>
        <w:spacing w:after="0" w:line="157" w:lineRule="exact"/>
        <w:rPr>
          <w:sz w:val="20"/>
          <w:szCs w:val="20"/>
          <w:color w:val="auto"/>
        </w:rPr>
      </w:pPr>
    </w:p>
    <w:p>
      <w:pPr>
        <w:ind w:right="140" w:firstLine="987"/>
        <w:spacing w:after="0" w:line="277" w:lineRule="auto"/>
        <w:tabs>
          <w:tab w:leader="none" w:pos="1256"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The Executive shall make no use whatsoever, directly or indirectly, of any Confidential Information at any time, except as required in connection with the performance of the Executive’s duties for the Company.</w:t>
      </w:r>
    </w:p>
    <w:p>
      <w:pPr>
        <w:spacing w:after="0" w:line="170" w:lineRule="exact"/>
        <w:rPr>
          <w:rFonts w:ascii="Arial" w:cs="Arial" w:eastAsia="Arial" w:hAnsi="Arial"/>
          <w:sz w:val="18"/>
          <w:szCs w:val="18"/>
          <w:b w:val="1"/>
          <w:bCs w:val="1"/>
          <w:color w:val="auto"/>
        </w:rPr>
      </w:pPr>
    </w:p>
    <w:p>
      <w:pPr>
        <w:ind w:right="540" w:firstLine="987"/>
        <w:spacing w:after="0" w:line="308" w:lineRule="auto"/>
        <w:tabs>
          <w:tab w:leader="none" w:pos="1236"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Upon the Company’s request following termination of employment, the Executive shall immediately deliver to the Company all materials (including all soft and hard copies) in the Executive’s possession which contain or relate to Confidential Information.</w:t>
      </w:r>
    </w:p>
    <w:p>
      <w:pPr>
        <w:spacing w:after="0" w:line="146" w:lineRule="exact"/>
        <w:rPr>
          <w:rFonts w:ascii="Arial" w:cs="Arial" w:eastAsia="Arial" w:hAnsi="Arial"/>
          <w:sz w:val="17"/>
          <w:szCs w:val="17"/>
          <w:b w:val="1"/>
          <w:bCs w:val="1"/>
          <w:color w:val="auto"/>
        </w:rPr>
      </w:pPr>
    </w:p>
    <w:p>
      <w:pPr>
        <w:ind w:firstLine="987"/>
        <w:spacing w:after="0" w:line="270" w:lineRule="auto"/>
        <w:tabs>
          <w:tab w:leader="none" w:pos="1256"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All inventions, modifications, discoveries, designs, developments, improvements, processes, software programs, works of authorship, documentation, formulae, data, techniques, know-how, secrets or intellectual property rights or any interest therein (collectively, “</w:t>
      </w:r>
      <w:r>
        <w:rPr>
          <w:rFonts w:ascii="Arial" w:cs="Arial" w:eastAsia="Arial" w:hAnsi="Arial"/>
          <w:sz w:val="17"/>
          <w:szCs w:val="17"/>
          <w:b w:val="1"/>
          <w:bCs w:val="1"/>
          <w:color w:val="auto"/>
        </w:rPr>
        <w:t>Developments</w:t>
      </w:r>
      <w:r>
        <w:rPr>
          <w:rFonts w:ascii="Arial" w:cs="Arial" w:eastAsia="Arial" w:hAnsi="Arial"/>
          <w:sz w:val="17"/>
          <w:szCs w:val="17"/>
          <w:color w:val="auto"/>
        </w:rPr>
        <w:t>”) made by the Executive in connection with his employment with the Company whether or not under this Agreement, either alone or in conjunction with others, at any time or at any place during the Executive’s employment or other business relationship with the Company, whether or not under this Agreement and whether or not reduced to writing or practice during such period of employment, which relate to the business in which the Company is engaged or any actual or demonstrably anticipated research or development of the Company, shall be and hereby are the exclusive property of the Company without any further compensation to the Executive. In addition, without limiting the generality of the prior sentence, all Developments which are copyrightable work by the Executive are intended to be “work made for hire” as defined in Section 101 of the Copyright Act of 1976, as amended, and shall be and hereby are the property of the Company.</w:t>
      </w:r>
    </w:p>
    <w:p>
      <w:pPr>
        <w:spacing w:after="0" w:line="180" w:lineRule="exact"/>
        <w:rPr>
          <w:rFonts w:ascii="Arial" w:cs="Arial" w:eastAsia="Arial" w:hAnsi="Arial"/>
          <w:sz w:val="17"/>
          <w:szCs w:val="17"/>
          <w:b w:val="1"/>
          <w:bCs w:val="1"/>
          <w:color w:val="auto"/>
        </w:rPr>
      </w:pPr>
    </w:p>
    <w:p>
      <w:pPr>
        <w:ind w:right="20" w:firstLine="987"/>
        <w:spacing w:after="0" w:line="288" w:lineRule="auto"/>
        <w:tabs>
          <w:tab w:leader="none" w:pos="1236"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t>The Executive shall promptly disclose any Developments to the Company. If any Development is not the property of the Company by operation of law, this Agreement or otherwise, the Executive will, and hereby does, assign to the Company all right, title and interest in such Development, without further consideration, and will assist the Company and its nominees in every way, at the Company’s expense, to secure, maintain and defend the Company’s rights in such Development. The Executive shall sign all instruments necessary for the filing and prosecution of any applications for, or extension or renewals of, letters patent (or other intellectual property registrations or filings) of the United States or any foreign country which the Company desires to file and relates to any Development. The Executive hereby irrevocably designates and appoints the Company and its duly authorized officers and agents as the Executive’s agent and attorney-in-fact (which designation and appointment shall be deemed coupled with an interest and shall survive the Executive’s death or incapacity), to act for and in the Executive’s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38" w:name="page239"/>
    <w:bookmarkEnd w:id="238"/>
    <w:p>
      <w:pPr>
        <w:ind w:left="4" w:right="260" w:firstLine="436"/>
        <w:spacing w:after="0" w:line="312" w:lineRule="auto"/>
        <w:tabs>
          <w:tab w:leader="none" w:pos="624" w:val="left"/>
        </w:tabs>
        <w:numPr>
          <w:ilvl w:val="1"/>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Noncompetition and Nonsolicitation</w:t>
      </w:r>
      <w:r>
        <w:rPr>
          <w:rFonts w:ascii="Arial" w:cs="Arial" w:eastAsia="Arial" w:hAnsi="Arial"/>
          <w:sz w:val="17"/>
          <w:szCs w:val="17"/>
          <w:color w:val="auto"/>
        </w:rPr>
        <w:t>. The Executive agrees that during the Executive’s employment or other business relationship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whether or not under this Agreement, and for a period of two years thereafter (the “</w:t>
      </w:r>
      <w:r>
        <w:rPr>
          <w:rFonts w:ascii="Arial" w:cs="Arial" w:eastAsia="Arial" w:hAnsi="Arial"/>
          <w:sz w:val="17"/>
          <w:szCs w:val="17"/>
          <w:b w:val="1"/>
          <w:bCs w:val="1"/>
          <w:color w:val="auto"/>
        </w:rPr>
        <w:t>Restricted Period</w:t>
      </w:r>
      <w:r>
        <w:rPr>
          <w:rFonts w:ascii="Arial" w:cs="Arial" w:eastAsia="Arial" w:hAnsi="Arial"/>
          <w:sz w:val="17"/>
          <w:szCs w:val="17"/>
          <w:color w:val="auto"/>
        </w:rPr>
        <w:t>”):</w:t>
      </w:r>
    </w:p>
    <w:p>
      <w:pPr>
        <w:spacing w:after="0" w:line="143" w:lineRule="exact"/>
        <w:rPr>
          <w:rFonts w:ascii="Arial" w:cs="Arial" w:eastAsia="Arial" w:hAnsi="Arial"/>
          <w:sz w:val="17"/>
          <w:szCs w:val="17"/>
          <w:b w:val="1"/>
          <w:bCs w:val="1"/>
          <w:color w:val="auto"/>
        </w:rPr>
      </w:pPr>
    </w:p>
    <w:p>
      <w:pPr>
        <w:ind w:left="4" w:right="40" w:firstLine="987"/>
        <w:spacing w:after="0" w:line="283" w:lineRule="auto"/>
        <w:tabs>
          <w:tab w:leader="none" w:pos="1250" w:val="left"/>
        </w:tabs>
        <w:numPr>
          <w:ilvl w:val="2"/>
          <w:numId w:val="180"/>
        </w:numPr>
        <w:rPr>
          <w:rFonts w:ascii="Arial" w:cs="Arial" w:eastAsia="Arial" w:hAnsi="Arial"/>
          <w:sz w:val="16"/>
          <w:szCs w:val="16"/>
          <w:b w:val="1"/>
          <w:bCs w:val="1"/>
          <w:color w:val="auto"/>
        </w:rPr>
      </w:pPr>
      <w:r>
        <w:rPr>
          <w:rFonts w:ascii="Arial" w:cs="Arial" w:eastAsia="Arial" w:hAnsi="Arial"/>
          <w:sz w:val="16"/>
          <w:szCs w:val="16"/>
          <w:color w:val="auto"/>
        </w:rPr>
        <w:t>the Executive will not, directly or indirectly, individually or as a consultant to, or an Executive, officer, director, manager, stockholder, partner, member or other owner or participant in any business entity (including, without limitation, any competitor of the Company), other than the Company, engage in or assist any other person or entity to engage in any business which competes with any business in which the Company is engaging or the actual or demonstrably anticipated research or development of the Company (a “</w:t>
      </w:r>
      <w:r>
        <w:rPr>
          <w:rFonts w:ascii="Arial" w:cs="Arial" w:eastAsia="Arial" w:hAnsi="Arial"/>
          <w:sz w:val="16"/>
          <w:szCs w:val="16"/>
          <w:b w:val="1"/>
          <w:bCs w:val="1"/>
          <w:color w:val="auto"/>
        </w:rPr>
        <w:t>Competing Business</w:t>
      </w:r>
      <w:r>
        <w:rPr>
          <w:rFonts w:ascii="Arial" w:cs="Arial" w:eastAsia="Arial" w:hAnsi="Arial"/>
          <w:sz w:val="16"/>
          <w:szCs w:val="16"/>
          <w:color w:val="auto"/>
        </w:rPr>
        <w:t>”), during the Executive’s employment, anywhere in the United States or anywhere else in the world where the Company does business or plans to do business or is considering doing business (it being understood and agreed that the Executive’s involvement with (i) the Existing Investments (but only to the extent such entity operates its business as in effect as of the date hereof and does not otherwise change or modify, in any material respect, its business so as to compete with any business in which the Company is engaged) and (ii) any approved Future Investment in accordance with Section 3 hereof (but only to the extent such entity operates its business as in effect as of the date of such approval and does not otherwise change or modify, in any material respect, its business so as to compete with any business in which the Company is engaged) shall not violate this Section 6(a)). Notwithstanding the foregoing, the Executive’s</w:t>
      </w:r>
    </w:p>
    <w:p>
      <w:pPr>
        <w:spacing w:after="0" w:line="4" w:lineRule="exact"/>
        <w:rPr>
          <w:rFonts w:ascii="Arial" w:cs="Arial" w:eastAsia="Arial" w:hAnsi="Arial"/>
          <w:sz w:val="16"/>
          <w:szCs w:val="16"/>
          <w:b w:val="1"/>
          <w:bCs w:val="1"/>
          <w:color w:val="auto"/>
        </w:rPr>
      </w:pPr>
    </w:p>
    <w:p>
      <w:pPr>
        <w:ind w:left="4" w:hanging="4"/>
        <w:spacing w:after="0" w:line="323" w:lineRule="auto"/>
        <w:tabs>
          <w:tab w:leader="none" w:pos="25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discretionary ownership of less than three percent (3%) and (y) non-discretionary (for example through a mutual fund or other investment vehicle not controlled by Executive) ownership of the outstanding stock of any publicly-traded corporation shall not be deemed a violation of this Section 6(a);</w:t>
      </w:r>
    </w:p>
    <w:p>
      <w:pPr>
        <w:spacing w:after="0" w:line="138" w:lineRule="exact"/>
        <w:rPr>
          <w:rFonts w:ascii="Arial" w:cs="Arial" w:eastAsia="Arial" w:hAnsi="Arial"/>
          <w:sz w:val="16"/>
          <w:szCs w:val="16"/>
          <w:color w:val="auto"/>
        </w:rPr>
      </w:pPr>
    </w:p>
    <w:p>
      <w:pPr>
        <w:ind w:left="4" w:right="60" w:firstLine="987"/>
        <w:spacing w:after="0" w:line="257" w:lineRule="auto"/>
        <w:tabs>
          <w:tab w:leader="none" w:pos="1260" w:val="left"/>
        </w:tabs>
        <w:numPr>
          <w:ilvl w:val="2"/>
          <w:numId w:val="181"/>
        </w:numPr>
        <w:rPr>
          <w:rFonts w:ascii="Arial" w:cs="Arial" w:eastAsia="Arial" w:hAnsi="Arial"/>
          <w:sz w:val="18"/>
          <w:szCs w:val="18"/>
          <w:b w:val="1"/>
          <w:bCs w:val="1"/>
          <w:color w:val="auto"/>
        </w:rPr>
      </w:pPr>
      <w:r>
        <w:rPr>
          <w:rFonts w:ascii="Arial" w:cs="Arial" w:eastAsia="Arial" w:hAnsi="Arial"/>
          <w:sz w:val="18"/>
          <w:szCs w:val="18"/>
          <w:color w:val="auto"/>
        </w:rPr>
        <w:t>the Executive will not, directly or indirectly, individually or as a consultant to, or an Executive,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187" w:lineRule="exact"/>
        <w:rPr>
          <w:rFonts w:ascii="Arial" w:cs="Arial" w:eastAsia="Arial" w:hAnsi="Arial"/>
          <w:sz w:val="18"/>
          <w:szCs w:val="18"/>
          <w:b w:val="1"/>
          <w:bCs w:val="1"/>
          <w:color w:val="auto"/>
        </w:rPr>
      </w:pPr>
    </w:p>
    <w:p>
      <w:pPr>
        <w:ind w:left="4" w:right="100" w:firstLine="987"/>
        <w:spacing w:after="0" w:line="279" w:lineRule="auto"/>
        <w:tabs>
          <w:tab w:leader="none" w:pos="1240" w:val="left"/>
        </w:tabs>
        <w:numPr>
          <w:ilvl w:val="2"/>
          <w:numId w:val="181"/>
        </w:numPr>
        <w:rPr>
          <w:rFonts w:ascii="Arial" w:cs="Arial" w:eastAsia="Arial" w:hAnsi="Arial"/>
          <w:sz w:val="17"/>
          <w:szCs w:val="17"/>
          <w:b w:val="1"/>
          <w:bCs w:val="1"/>
          <w:color w:val="auto"/>
        </w:rPr>
      </w:pPr>
      <w:r>
        <w:rPr>
          <w:rFonts w:ascii="Arial" w:cs="Arial" w:eastAsia="Arial" w:hAnsi="Arial"/>
          <w:sz w:val="17"/>
          <w:szCs w:val="17"/>
          <w:color w:val="auto"/>
        </w:rPr>
        <w:t>the Executive will not, directly or indirectly, individually or as a consultant to, or an Executive,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spacing w:after="0" w:line="167" w:lineRule="exact"/>
        <w:rPr>
          <w:rFonts w:ascii="Arial" w:cs="Arial" w:eastAsia="Arial" w:hAnsi="Arial"/>
          <w:sz w:val="17"/>
          <w:szCs w:val="17"/>
          <w:b w:val="1"/>
          <w:bCs w:val="1"/>
          <w:color w:val="auto"/>
        </w:rPr>
      </w:pPr>
    </w:p>
    <w:p>
      <w:pPr>
        <w:ind w:left="4" w:right="40" w:firstLine="436"/>
        <w:spacing w:after="0" w:line="255" w:lineRule="auto"/>
        <w:tabs>
          <w:tab w:leader="none" w:pos="624" w:val="left"/>
        </w:tabs>
        <w:numPr>
          <w:ilvl w:val="1"/>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Without limiting the remedies available to the Company, the Executive acknowledges that a breach of any of the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Sections 5 or 6 hereof could result in irreparable injury to the Company for which there might be no adequate remedy at law, and that, in the event of such a breach or threat thereof, the Company shall be entitled to obtain a temporary restraining order and/or a preliminary injunction and a permanent injunction restraining the Executive from engaging in any activities prohibited by Sections 5 or 6 hereof or such other equitable relief as may be required to enforce specifically any of the covenants contained in Sections 5 or 6 hereof. The foregoing provisions and the provisions of Sections 5 and 6 hereof shall survive the termination of the Executive’s employment with the Company, and shall continue thereafter in full force and effect in accordance with their terms.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239" w:name="page240"/>
    <w:bookmarkEnd w:id="239"/>
    <w:p>
      <w:pPr>
        <w:ind w:left="4" w:right="120" w:firstLine="436"/>
        <w:spacing w:after="0" w:line="347" w:lineRule="auto"/>
        <w:tabs>
          <w:tab w:leader="none" w:pos="624" w:val="left"/>
        </w:tabs>
        <w:numPr>
          <w:ilvl w:val="1"/>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Applicability to Related Companies</w:t>
      </w:r>
      <w:r>
        <w:rPr>
          <w:rFonts w:ascii="Arial" w:cs="Arial" w:eastAsia="Arial" w:hAnsi="Arial"/>
          <w:sz w:val="16"/>
          <w:szCs w:val="16"/>
          <w:color w:val="auto"/>
        </w:rPr>
        <w:t>. For purposes of Sections 5, 6 and 7 of this Agreement, the term “Company” shall include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Parent and each of their respective subsidiaries, whether now existing or hereinafter created, and their respective successors and assigns.</w:t>
      </w:r>
    </w:p>
    <w:p>
      <w:pPr>
        <w:spacing w:after="0" w:line="115" w:lineRule="exact"/>
        <w:rPr>
          <w:rFonts w:ascii="Arial" w:cs="Arial" w:eastAsia="Arial" w:hAnsi="Arial"/>
          <w:sz w:val="16"/>
          <w:szCs w:val="16"/>
          <w:b w:val="1"/>
          <w:bCs w:val="1"/>
          <w:color w:val="auto"/>
        </w:rPr>
      </w:pPr>
    </w:p>
    <w:p>
      <w:pPr>
        <w:ind w:left="4" w:right="60" w:firstLine="436"/>
        <w:spacing w:after="0" w:line="303" w:lineRule="auto"/>
        <w:tabs>
          <w:tab w:leader="none" w:pos="624" w:val="left"/>
        </w:tabs>
        <w:numPr>
          <w:ilvl w:val="1"/>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Review of Agreement; Reasonable Restrictions</w:t>
      </w:r>
      <w:r>
        <w:rPr>
          <w:rFonts w:ascii="Arial" w:cs="Arial" w:eastAsia="Arial" w:hAnsi="Arial"/>
          <w:sz w:val="16"/>
          <w:szCs w:val="16"/>
          <w:color w:val="auto"/>
        </w:rPr>
        <w:t>. The Executive (a) has carefully read and understands all of the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has had the opportunity for this Agreement to be reviewed by counsel, (b) acknowledges that the duration, scope and subject matter of Sections 5 through 8 of this Agreement are reasonable and necessary to protect the goodwill, customer relationships, legitimate business interests and Confidential Information of the Company and its affiliates, and (c) will be able to earn a satisfactory livelihood without violating this Agreement.</w:t>
      </w:r>
    </w:p>
    <w:p>
      <w:pPr>
        <w:spacing w:after="0" w:line="150" w:lineRule="exact"/>
        <w:rPr>
          <w:rFonts w:ascii="Arial" w:cs="Arial" w:eastAsia="Arial" w:hAnsi="Arial"/>
          <w:sz w:val="16"/>
          <w:szCs w:val="16"/>
          <w:b w:val="1"/>
          <w:bCs w:val="1"/>
          <w:color w:val="auto"/>
        </w:rPr>
      </w:pPr>
    </w:p>
    <w:p>
      <w:pPr>
        <w:ind w:left="704" w:hanging="264"/>
        <w:spacing w:after="0"/>
        <w:tabs>
          <w:tab w:leader="none" w:pos="704" w:val="left"/>
        </w:tabs>
        <w:numPr>
          <w:ilvl w:val="1"/>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2"/>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Executive’s employment with the Company may be terminated at any time (i) by the Company with or without Cause,</w:t>
      </w:r>
    </w:p>
    <w:p>
      <w:pPr>
        <w:spacing w:after="0" w:line="50" w:lineRule="exact"/>
        <w:rPr>
          <w:rFonts w:ascii="Arial" w:cs="Arial" w:eastAsia="Arial" w:hAnsi="Arial"/>
          <w:sz w:val="16"/>
          <w:szCs w:val="16"/>
          <w:b w:val="1"/>
          <w:bCs w:val="1"/>
          <w:color w:val="auto"/>
        </w:rPr>
      </w:pPr>
    </w:p>
    <w:p>
      <w:pPr>
        <w:ind w:left="4" w:right="20" w:hanging="4"/>
        <w:spacing w:after="0" w:line="253" w:lineRule="auto"/>
        <w:tabs>
          <w:tab w:leader="none" w:pos="26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by the Executive for any or no reason (including with Good Reason), or (iii) by the Company or the Executive in the event of the Executive’s Disability, and shall terminate in the event of the Executive’s death. Notwithstanding the foregoing, the Executive’s employment with the Company may not be terminated by the Company without Cause prior to the date that the final Closing Purchase Price is determined pursuant to Section 1.5(d) of the Purchase Agreement.</w:t>
      </w:r>
    </w:p>
    <w:p>
      <w:pPr>
        <w:spacing w:after="0" w:line="188" w:lineRule="exact"/>
        <w:rPr>
          <w:rFonts w:ascii="Arial" w:cs="Arial" w:eastAsia="Arial" w:hAnsi="Arial"/>
          <w:sz w:val="18"/>
          <w:szCs w:val="18"/>
          <w:color w:val="auto"/>
        </w:rPr>
      </w:pPr>
    </w:p>
    <w:p>
      <w:pPr>
        <w:ind w:left="1264" w:hanging="273"/>
        <w:spacing w:after="0"/>
        <w:tabs>
          <w:tab w:leader="none" w:pos="1264" w:val="left"/>
        </w:tabs>
        <w:numPr>
          <w:ilvl w:val="2"/>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following terms shall have the following meanings:</w:t>
      </w:r>
    </w:p>
    <w:p>
      <w:pPr>
        <w:spacing w:after="0" w:line="225"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xml:space="preserve">” means that the Executive has: (i) breached any fiduciary duty or legal or material contractual obligation to the Company, which breach, if curable, is not cured within 15 days after written notice to the Executive thereof or, if cured, recurs; (ii) 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its affiliates, in each case as determined by the Board; (iv) been convicted of or pleaded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any misdemeanor relating to the affairs of the Company or any of its affiliates or</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(B) any felony; or (v) engaged in a willful violation of any federal or state securities laws.</w:t>
      </w:r>
    </w:p>
    <w:p>
      <w:pPr>
        <w:spacing w:after="0" w:line="207"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illness (mental or physical) or accident, which results in the Executive being unable to perform the Executive’s duties as an Executive of the Company for a period of 90 days, whether or not consecutive, in any 12-month period.</w:t>
      </w:r>
    </w:p>
    <w:p>
      <w:pPr>
        <w:spacing w:after="0" w:line="162" w:lineRule="exact"/>
        <w:rPr>
          <w:sz w:val="20"/>
          <w:szCs w:val="20"/>
          <w:color w:val="auto"/>
        </w:rPr>
      </w:pPr>
    </w:p>
    <w:p>
      <w:pPr>
        <w:ind w:left="4" w:right="1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means without the written consent of the Executive (i) the Company permanently relocates his primary office to a location more than 25 miles from its current office location in Framingham, Massachusetts, (ii) the Company reduces the Executive’s then-current</w:t>
      </w:r>
    </w:p>
    <w:p>
      <w:pPr>
        <w:spacing w:after="0" w:line="7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240" w:name="page241"/>
    <w:bookmarkEnd w:id="24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Base Salary by twenty percent (20%) or more provided that any such reduction that applies to all management employees in the same manner will not constitute Good Reason, or (iii) any material diminution in responsibilities, it being understood that a material diminution in responsibility in connection with a sale of the Company shall not constitute Good Reason;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the Company shall have been given written notice from Executive describing in reasonable detail the occurrence of the event or circumstance for which he believes he may resign for Good Reason within 90 days of the occurrence thereof and the Company shall not have cured such event or circumstance within 30 days after the Company’s receipt of such notice.</w:t>
      </w:r>
    </w:p>
    <w:p>
      <w:pPr>
        <w:spacing w:after="0" w:line="18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Severance</w:t>
      </w:r>
      <w:r>
        <w:rPr>
          <w:rFonts w:ascii="Arial" w:cs="Arial" w:eastAsia="Arial" w:hAnsi="Arial"/>
          <w:sz w:val="16"/>
          <w:szCs w:val="16"/>
          <w:color w:val="auto"/>
        </w:rPr>
        <w:t>” means (i) continuation of payments of Base Salary (at the rate in effect on the date of termination) for a period of twelve months from the date of termination of employment, payable in accordance with the Company’s regular payroll schedule; (ii) a prorated portion of the Bonus that the Executive would have earned in accordance with this Agreement had his employment with the Company continued through the end of that fiscal year (plus, if not yet paid upon the date of termination, the full Bonus for the prior fiscal year), which prorated amount shall be calculated based upon the number of days elapsed during the fiscal year in which the Executive’s employment terminates through the date of termination and determined in the sole good faith discretion of the Board; and (iii) if the Executive is eligible, continuation of payments by the Company of the group health continuation coverage premiums for the Executive and the Executive’s eligible dependents under Title X of the Consolidated Budget Reconciliation Act of 1985, as amended as in effect through the lesser of (A) twelve months from the effective date of such termination or (B) the date the Executive no longer constitutes a “Qualified Beneficiary” (as such term is defined in Section 4980B(g)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Executive will be solely responsible for electing such coverage within the required time periods.</w:t>
      </w:r>
    </w:p>
    <w:p>
      <w:pPr>
        <w:spacing w:after="0" w:line="161" w:lineRule="exact"/>
        <w:rPr>
          <w:sz w:val="20"/>
          <w:szCs w:val="20"/>
          <w:color w:val="auto"/>
        </w:rPr>
      </w:pPr>
    </w:p>
    <w:p>
      <w:pPr>
        <w:ind w:right="20" w:firstLine="987"/>
        <w:spacing w:after="0" w:line="277" w:lineRule="auto"/>
        <w:tabs>
          <w:tab w:leader="none" w:pos="1236"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Effects of Termination</w:t>
      </w:r>
      <w:r>
        <w:rPr>
          <w:rFonts w:ascii="Arial" w:cs="Arial" w:eastAsia="Arial" w:hAnsi="Arial"/>
          <w:sz w:val="17"/>
          <w:szCs w:val="17"/>
          <w:color w:val="auto"/>
        </w:rPr>
        <w:t>. If the Executive’s employment is terminated during the Term, the Company shall have no further obligation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any payments or provide any benefits to the Executive hereunder after the date of termination except for (i) payments of Base Salary and expense reimbursement that had accrued but had not been paid prior to the date of termination, (ii) if required by law, payments for any accrued but unused vacation time, and (iii) if the Executive’s employment with the Company is (A) terminated by the Company without Cause (other than as a result of death or Disability of the Executive) or (B) terminated by the Executive for Good Reason, payments of Severance.</w:t>
      </w:r>
    </w:p>
    <w:p>
      <w:pPr>
        <w:spacing w:after="0" w:line="172"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Severance benefits available to the Executive under this Section 10 are the sole and exclusive severance payments and benefits to which the Executive may be entitled upon termination of the Executive’s employment. The Executive shall not be entitled to receive any other severance-related payments or benefits under any other plan or agreement which may from time to time be made available to other Executives of the Company or any affiliate.</w:t>
      </w:r>
    </w:p>
    <w:p>
      <w:pPr>
        <w:spacing w:after="0" w:line="183" w:lineRule="exact"/>
        <w:rPr>
          <w:sz w:val="20"/>
          <w:szCs w:val="20"/>
          <w:color w:val="auto"/>
        </w:rPr>
      </w:pPr>
    </w:p>
    <w:p>
      <w:pPr>
        <w:ind w:right="500" w:firstLine="987"/>
        <w:spacing w:after="0" w:line="282" w:lineRule="auto"/>
        <w:tabs>
          <w:tab w:leader="none" w:pos="1256"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and Limitations to Severance</w:t>
      </w:r>
      <w:r>
        <w:rPr>
          <w:rFonts w:ascii="Arial" w:cs="Arial" w:eastAsia="Arial" w:hAnsi="Arial"/>
          <w:sz w:val="18"/>
          <w:szCs w:val="18"/>
          <w:color w:val="auto"/>
        </w:rPr>
        <w:t>. Notwithstanding the foregoing, the Company’s obligation to pay Severance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provisions and conditions: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41" w:name="page242"/>
    <w:bookmarkEnd w:id="241"/>
    <w:p>
      <w:pPr>
        <w:ind w:left="440" w:firstLine="419"/>
        <w:spacing w:after="0" w:line="282" w:lineRule="auto"/>
        <w:tabs>
          <w:tab w:leader="none" w:pos="1078"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 of Claims</w:t>
      </w:r>
      <w:r>
        <w:rPr>
          <w:rFonts w:ascii="Arial" w:cs="Arial" w:eastAsia="Arial" w:hAnsi="Arial"/>
          <w:sz w:val="18"/>
          <w:szCs w:val="18"/>
          <w:color w:val="auto"/>
        </w:rPr>
        <w:t>. The Company’s obligation to pay Severance shall be contingent upon the Executive signing a general release in form</w:t>
      </w:r>
      <w:r>
        <w:rPr>
          <w:rFonts w:ascii="Arial" w:cs="Arial" w:eastAsia="Arial" w:hAnsi="Arial"/>
          <w:sz w:val="18"/>
          <w:szCs w:val="18"/>
          <w:b w:val="1"/>
          <w:bCs w:val="1"/>
          <w:color w:val="auto"/>
        </w:rPr>
        <w:t xml:space="preserve"> </w:t>
      </w:r>
      <w:r>
        <w:rPr>
          <w:rFonts w:ascii="Arial" w:cs="Arial" w:eastAsia="Arial" w:hAnsi="Arial"/>
          <w:sz w:val="18"/>
          <w:szCs w:val="18"/>
          <w:color w:val="auto"/>
        </w:rPr>
        <w:t>and substance reasonably acceptable to the Company and Executive.</w:t>
      </w:r>
    </w:p>
    <w:p>
      <w:pPr>
        <w:spacing w:after="0" w:line="53" w:lineRule="exact"/>
        <w:rPr>
          <w:rFonts w:ascii="Arial" w:cs="Arial" w:eastAsia="Arial" w:hAnsi="Arial"/>
          <w:sz w:val="18"/>
          <w:szCs w:val="18"/>
          <w:color w:val="auto"/>
        </w:rPr>
      </w:pPr>
    </w:p>
    <w:p>
      <w:pPr>
        <w:ind w:left="440" w:right="80" w:firstLine="419"/>
        <w:spacing w:after="0" w:line="314" w:lineRule="auto"/>
        <w:tabs>
          <w:tab w:leader="none" w:pos="1128" w:val="left"/>
        </w:tabs>
        <w:numPr>
          <w:ilvl w:val="0"/>
          <w:numId w:val="186"/>
        </w:numPr>
        <w:rPr>
          <w:rFonts w:ascii="Arial" w:cs="Arial" w:eastAsia="Arial" w:hAnsi="Arial"/>
          <w:sz w:val="16"/>
          <w:szCs w:val="16"/>
          <w:color w:val="auto"/>
        </w:rPr>
      </w:pPr>
      <w:r>
        <w:rPr>
          <w:rFonts w:ascii="Arial" w:cs="Arial" w:eastAsia="Arial" w:hAnsi="Arial"/>
          <w:sz w:val="16"/>
          <w:szCs w:val="16"/>
          <w:b w:val="1"/>
          <w:bCs w:val="1"/>
          <w:color w:val="auto"/>
        </w:rPr>
        <w:t>New Employment</w:t>
      </w:r>
      <w:r>
        <w:rPr>
          <w:rFonts w:ascii="Arial" w:cs="Arial" w:eastAsia="Arial" w:hAnsi="Arial"/>
          <w:sz w:val="16"/>
          <w:szCs w:val="16"/>
          <w:color w:val="auto"/>
        </w:rPr>
        <w:t>. If the Executive accepts a paid employment or consulting position with any other person or organization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in which he is entitled to Severance, he shall promptly notify the Company. The remaining Severance payments shall be reduced by the gross compensation payable to Executive in the Executive’s new employment or consulting agreement for the corresponding period.</w:t>
      </w:r>
    </w:p>
    <w:p>
      <w:pPr>
        <w:spacing w:after="0" w:line="33" w:lineRule="exact"/>
        <w:rPr>
          <w:rFonts w:ascii="Arial" w:cs="Arial" w:eastAsia="Arial" w:hAnsi="Arial"/>
          <w:sz w:val="16"/>
          <w:szCs w:val="16"/>
          <w:color w:val="auto"/>
        </w:rPr>
      </w:pPr>
    </w:p>
    <w:p>
      <w:pPr>
        <w:ind w:left="440" w:right="40" w:firstLine="419"/>
        <w:spacing w:after="0" w:line="281" w:lineRule="auto"/>
        <w:tabs>
          <w:tab w:leader="none" w:pos="1178" w:val="left"/>
        </w:tabs>
        <w:numPr>
          <w:ilvl w:val="0"/>
          <w:numId w:val="186"/>
        </w:numPr>
        <w:rPr>
          <w:rFonts w:ascii="Arial" w:cs="Arial" w:eastAsia="Arial" w:hAnsi="Arial"/>
          <w:sz w:val="17"/>
          <w:szCs w:val="17"/>
          <w:color w:val="auto"/>
        </w:rPr>
      </w:pPr>
      <w:r>
        <w:rPr>
          <w:rFonts w:ascii="Arial" w:cs="Arial" w:eastAsia="Arial" w:hAnsi="Arial"/>
          <w:sz w:val="17"/>
          <w:szCs w:val="17"/>
          <w:b w:val="1"/>
          <w:bCs w:val="1"/>
          <w:color w:val="auto"/>
        </w:rPr>
        <w:t>Consequences of Breach</w:t>
      </w:r>
      <w:r>
        <w:rPr>
          <w:rFonts w:ascii="Arial" w:cs="Arial" w:eastAsia="Arial" w:hAnsi="Arial"/>
          <w:sz w:val="17"/>
          <w:szCs w:val="17"/>
          <w:color w:val="auto"/>
        </w:rPr>
        <w:t>. If the Executive breaches the Executive’s obligations under Sections 4 or 5 of this Agreement,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may immediately cease payments of Severance and may recover all Severance paid to the Executive after the date of such breach. The cessation and recovery of these payments shall be in addition to, and not as an alternative to, any other remedies at law or in equity available to the Company including, without limitation, the right to seek specific performance or an injunction.</w:t>
      </w:r>
    </w:p>
    <w:p>
      <w:pPr>
        <w:spacing w:after="0" w:line="56" w:lineRule="exact"/>
        <w:rPr>
          <w:rFonts w:ascii="Arial" w:cs="Arial" w:eastAsia="Arial" w:hAnsi="Arial"/>
          <w:sz w:val="17"/>
          <w:szCs w:val="17"/>
          <w:color w:val="auto"/>
        </w:rPr>
      </w:pPr>
    </w:p>
    <w:p>
      <w:pPr>
        <w:ind w:left="440" w:right="240" w:firstLine="419"/>
        <w:spacing w:after="0" w:line="282" w:lineRule="auto"/>
        <w:tabs>
          <w:tab w:leader="none" w:pos="1168"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Sale</w:t>
      </w:r>
      <w:r>
        <w:rPr>
          <w:rFonts w:ascii="Arial" w:cs="Arial" w:eastAsia="Arial" w:hAnsi="Arial"/>
          <w:sz w:val="18"/>
          <w:szCs w:val="18"/>
          <w:color w:val="auto"/>
        </w:rPr>
        <w:t>. In no event shall the Company be required to pay Severance if the Executive’s employment is terminated in connection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after a Sale (as defined in Parent’s Limited Liability Company Agreement, as amended).</w:t>
      </w:r>
    </w:p>
    <w:p>
      <w:pPr>
        <w:spacing w:after="0" w:line="166"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For purposes of Section 409A, each payment of Severance shall be considered a separate payment and not one of a series of payments. Any payment under this Section 10 that is not made during the period following the termination of the Employee’s employment because the Employee has not executed the release contemplated hereby shall be paid to the Employee in a single lump sum on the first payroll date following the last day of any applicable revocation period after the Employee executes the release; </w:t>
      </w:r>
      <w:r>
        <w:rPr>
          <w:rFonts w:ascii="Arial" w:cs="Arial" w:eastAsia="Arial" w:hAnsi="Arial"/>
          <w:sz w:val="18"/>
          <w:szCs w:val="18"/>
          <w:i w:val="1"/>
          <w:iCs w:val="1"/>
          <w:color w:val="auto"/>
        </w:rPr>
        <w:t>provided</w:t>
      </w:r>
      <w:r>
        <w:rPr>
          <w:rFonts w:ascii="Arial" w:cs="Arial" w:eastAsia="Arial" w:hAnsi="Arial"/>
          <w:sz w:val="18"/>
          <w:szCs w:val="18"/>
          <w:color w:val="auto"/>
        </w:rPr>
        <w:t>, that the Employee executes and does not revoke the release in accordance with the requirements hereof.</w:t>
      </w:r>
    </w:p>
    <w:p>
      <w:pPr>
        <w:spacing w:after="0" w:line="184" w:lineRule="exact"/>
        <w:rPr>
          <w:sz w:val="20"/>
          <w:szCs w:val="20"/>
          <w:color w:val="auto"/>
        </w:rPr>
      </w:pPr>
    </w:p>
    <w:p>
      <w:pPr>
        <w:ind w:right="280" w:firstLine="436"/>
        <w:spacing w:after="0" w:line="282" w:lineRule="auto"/>
        <w:tabs>
          <w:tab w:leader="none" w:pos="7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The provisions of Sections 5 through 25 of this Agreement shall survive the termination of the Executive’s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shall continue thereafter in full force and effect in accordance with their terms.</w:t>
      </w:r>
    </w:p>
    <w:p>
      <w:pPr>
        <w:spacing w:after="0" w:line="161" w:lineRule="exact"/>
        <w:rPr>
          <w:rFonts w:ascii="Arial" w:cs="Arial" w:eastAsia="Arial" w:hAnsi="Arial"/>
          <w:sz w:val="18"/>
          <w:szCs w:val="18"/>
          <w:b w:val="1"/>
          <w:bCs w:val="1"/>
          <w:color w:val="auto"/>
        </w:rPr>
      </w:pPr>
    </w:p>
    <w:p>
      <w:pPr>
        <w:ind w:firstLine="436"/>
        <w:spacing w:after="0" w:line="255" w:lineRule="auto"/>
        <w:tabs>
          <w:tab w:leader="none" w:pos="71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is intended to comply with the requirements of Section 409A and the regulations thereunder.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in this Agreement is ambiguous as to its compliance with Section 409A of the Code, the provision shall be interpreted in a manner so that no payment due to Executive shall be subject to an “additional tax” within the meaning of Section 409A(a)(1)(B) of the Code. To the extent that any provision in the Agreement is ambiguous as to its compliance with Section 409A of the Code, or to the extent any provision in the Agreement must be modified to comply with Section 409A of the Code, such provision shall be read, or shall be modified (with the mutual consent of the parties), as the case may be, in such a manner so that no payment due to Executive shall be subject to an “additional tax” within the meaning of Section 409A(a)(1)(B) of the Code.</w:t>
      </w:r>
    </w:p>
    <w:p>
      <w:pPr>
        <w:spacing w:after="0" w:line="193"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For purposes of Section 409A of the Code, each payment made under this Agreement shall be treated as a separate payment. In no event may Executive, directly or indirectly,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0" w:right="499" w:bottom="1440" w:gutter="0" w:footer="0" w:header="0"/>
        </w:sectPr>
      </w:pPr>
    </w:p>
    <w:bookmarkStart w:id="242" w:name="page243"/>
    <w:bookmarkEnd w:id="24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designate the calendar year of any payment. All reimbursements provided under this Agreement shall be made or provided in accordance with the requirements of Section 409A of the Code, including, where applicable, the requirement that (i) any reimbursement be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92"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Notwithstanding anything to the contrary herein, if a payment or benefit under this Agreement is due to a “separation from service” for purposes of the rules under Treas. Reg. § 1.409A-3(i)(2) (payments to specified employees upon a separation from service) and Executive is determined to be a “specified employee” (as determined under Treas. Reg. § 1.409A-1(i)), such payment or benefit shall, to the extent necessary to comply with the requirements of Section 409A of the Code, be made or provided on the later of the date specified by the foregoing provisions of this Agreement or the date that is six months after the date of Executive’s separation from service (or, if earlier, the date of Executive’s death). Any installment payments that are delayed pursuant to this Section 12 shall be accumulated and paid in a lump sum on the first day of the seventh month following Executive’s separation from service, and the remaining installment payments shall begin on such date in accordance with the schedule provided in this Agreement.</w:t>
      </w:r>
    </w:p>
    <w:p>
      <w:pPr>
        <w:spacing w:after="0" w:line="162" w:lineRule="exact"/>
        <w:rPr>
          <w:sz w:val="20"/>
          <w:szCs w:val="20"/>
          <w:color w:val="auto"/>
        </w:rPr>
      </w:pPr>
    </w:p>
    <w:p>
      <w:pPr>
        <w:ind w:right="100" w:firstLine="436"/>
        <w:spacing w:after="0" w:line="277" w:lineRule="auto"/>
        <w:tabs>
          <w:tab w:leader="none" w:pos="710"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Enforceability, Etc</w:t>
      </w:r>
      <w:r>
        <w:rPr>
          <w:rFonts w:ascii="Arial" w:cs="Arial" w:eastAsia="Arial" w:hAnsi="Arial"/>
          <w:sz w:val="17"/>
          <w:szCs w:val="17"/>
          <w:color w:val="auto"/>
        </w:rPr>
        <w:t>. This Agreement shall be interpreted in such a manner as to be effective and valid under applicable law, but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spacing w:after="0" w:line="167" w:lineRule="exact"/>
        <w:rPr>
          <w:rFonts w:ascii="Arial" w:cs="Arial" w:eastAsia="Arial" w:hAnsi="Arial"/>
          <w:sz w:val="17"/>
          <w:szCs w:val="17"/>
          <w:b w:val="1"/>
          <w:bCs w:val="1"/>
          <w:color w:val="auto"/>
        </w:rPr>
      </w:pPr>
    </w:p>
    <w:p>
      <w:pPr>
        <w:ind w:left="700" w:hanging="264"/>
        <w:spacing w:after="0"/>
        <w:tabs>
          <w:tab w:leader="none" w:pos="700"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and other communications given or made pursuant to this Agreement shall be in writing and shall be deemed effectively</w:t>
      </w:r>
    </w:p>
    <w:p>
      <w:pPr>
        <w:spacing w:after="0" w:line="50" w:lineRule="exact"/>
        <w:rPr>
          <w:rFonts w:ascii="Arial" w:cs="Arial" w:eastAsia="Arial" w:hAnsi="Arial"/>
          <w:sz w:val="16"/>
          <w:szCs w:val="16"/>
          <w:b w:val="1"/>
          <w:bCs w:val="1"/>
          <w:color w:val="auto"/>
        </w:rPr>
      </w:pPr>
    </w:p>
    <w:p>
      <w:pPr>
        <w:ind w:right="1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given: (i) upon personal delivery to the party to be notified; (ii) when sent by confirmed facsimile if sent during normal business hours of the recipient, and if not so confirmed,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respective parties at their address as set forth below, or to such facsimile number or address as subsequently modified by written notice given in accordance with this Section 14.</w:t>
      </w:r>
    </w:p>
    <w:p>
      <w:pPr>
        <w:spacing w:after="0" w:line="190" w:lineRule="exact"/>
        <w:rPr>
          <w:rFonts w:ascii="Arial" w:cs="Arial" w:eastAsia="Arial" w:hAnsi="Arial"/>
          <w:sz w:val="16"/>
          <w:szCs w:val="16"/>
          <w:b w:val="1"/>
          <w:bCs w:val="1"/>
          <w:color w:val="auto"/>
        </w:rPr>
      </w:pPr>
    </w:p>
    <w:p>
      <w:pPr>
        <w:ind w:right="320" w:firstLine="987"/>
        <w:spacing w:after="0" w:line="277" w:lineRule="auto"/>
        <w:tabs>
          <w:tab w:leader="none" w:pos="1246"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If to the Executive, to the most recent address reflected in the Company’s records, with copies, which shall not constitute notice, to Rich May, P.C., 176 Federal Street, 6</w:t>
      </w:r>
      <w:r>
        <w:rPr>
          <w:rFonts w:ascii="Arial" w:cs="Arial" w:eastAsia="Arial" w:hAnsi="Arial"/>
          <w:sz w:val="15"/>
          <w:szCs w:val="15"/>
          <w:color w:val="auto"/>
        </w:rPr>
        <w:t>th</w:t>
      </w:r>
      <w:r>
        <w:rPr>
          <w:rFonts w:ascii="Arial" w:cs="Arial" w:eastAsia="Arial" w:hAnsi="Arial"/>
          <w:sz w:val="18"/>
          <w:szCs w:val="18"/>
          <w:color w:val="auto"/>
        </w:rPr>
        <w:t xml:space="preserve"> Floor, Boston, MA 02110; Attn: Scott A Stokes.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43" w:name="page244"/>
    <w:bookmarkEnd w:id="243"/>
    <w:p>
      <w:pPr>
        <w:ind w:right="20" w:firstLine="987"/>
        <w:spacing w:after="0" w:line="277" w:lineRule="auto"/>
        <w:tabs>
          <w:tab w:leader="none" w:pos="1256" w:val="left"/>
        </w:tabs>
        <w:numPr>
          <w:ilvl w:val="1"/>
          <w:numId w:val="18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 to the Company’s principal place of business c/o Management Board, with copies, which shall not constitute notice, to Spectrum Equity Investors, One International Place, 35</w:t>
      </w:r>
      <w:r>
        <w:rPr>
          <w:rFonts w:ascii="Arial" w:cs="Arial" w:eastAsia="Arial" w:hAnsi="Arial"/>
          <w:sz w:val="15"/>
          <w:szCs w:val="15"/>
          <w:color w:val="auto"/>
        </w:rPr>
        <w:t>th</w:t>
      </w:r>
      <w:r>
        <w:rPr>
          <w:rFonts w:ascii="Arial" w:cs="Arial" w:eastAsia="Arial" w:hAnsi="Arial"/>
          <w:sz w:val="18"/>
          <w:szCs w:val="18"/>
          <w:color w:val="auto"/>
        </w:rPr>
        <w:t xml:space="preserve"> Floor, Boston, MA 02110; Attn: Christopher T. Mitchell.</w:t>
      </w:r>
    </w:p>
    <w:p>
      <w:pPr>
        <w:spacing w:after="0" w:line="166" w:lineRule="exact"/>
        <w:rPr>
          <w:rFonts w:ascii="Arial" w:cs="Arial" w:eastAsia="Arial" w:hAnsi="Arial"/>
          <w:sz w:val="18"/>
          <w:szCs w:val="18"/>
          <w:b w:val="1"/>
          <w:bCs w:val="1"/>
          <w:color w:val="auto"/>
        </w:rPr>
      </w:pPr>
    </w:p>
    <w:p>
      <w:pPr>
        <w:ind w:right="700" w:firstLine="436"/>
        <w:spacing w:after="0" w:line="282" w:lineRule="auto"/>
        <w:tabs>
          <w:tab w:leader="none" w:pos="71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internal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without regard to its choice of law provisions.</w:t>
      </w:r>
    </w:p>
    <w:p>
      <w:pPr>
        <w:spacing w:after="0" w:line="161" w:lineRule="exact"/>
        <w:rPr>
          <w:rFonts w:ascii="Arial" w:cs="Arial" w:eastAsia="Arial" w:hAnsi="Arial"/>
          <w:sz w:val="18"/>
          <w:szCs w:val="18"/>
          <w:b w:val="1"/>
          <w:bCs w:val="1"/>
          <w:color w:val="auto"/>
        </w:rPr>
      </w:pPr>
    </w:p>
    <w:p>
      <w:pPr>
        <w:ind w:firstLine="436"/>
        <w:spacing w:after="0" w:line="277" w:lineRule="auto"/>
        <w:tabs>
          <w:tab w:leader="none" w:pos="71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EACH PARTY HERETO ACKNOWLEDGES AND AGREES THAT ANY CONTROVERSY WHICH MAY ARISE</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AND ANY OF THE AGREEMENTS DELIVERED IN CONNECTION HEREWITH OR THE TRANSACTIONS CONTEMPLATED HEREBY OR THEREBY.</w:t>
      </w:r>
    </w:p>
    <w:p>
      <w:pPr>
        <w:spacing w:after="0" w:line="167" w:lineRule="exact"/>
        <w:rPr>
          <w:rFonts w:ascii="Arial" w:cs="Arial" w:eastAsia="Arial" w:hAnsi="Arial"/>
          <w:sz w:val="17"/>
          <w:szCs w:val="17"/>
          <w:b w:val="1"/>
          <w:bCs w:val="1"/>
          <w:color w:val="auto"/>
        </w:rPr>
      </w:pPr>
    </w:p>
    <w:p>
      <w:pPr>
        <w:ind w:right="300" w:firstLine="436"/>
        <w:spacing w:after="0" w:line="298" w:lineRule="auto"/>
        <w:tabs>
          <w:tab w:leader="none" w:pos="710"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and Waivers</w:t>
      </w:r>
      <w:r>
        <w:rPr>
          <w:rFonts w:ascii="Arial" w:cs="Arial" w:eastAsia="Arial" w:hAnsi="Arial"/>
          <w:sz w:val="16"/>
          <w:szCs w:val="16"/>
          <w:color w:val="auto"/>
        </w:rPr>
        <w:t>. This Agreement may be amended or modified only by a written instrument signed by the Company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direction of the Management Board) and the Executive. No waiver of this Agreement or any provision hereof shall be binding upon the party against whom enforcement of such 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spacing w:after="0" w:line="153" w:lineRule="exact"/>
        <w:rPr>
          <w:rFonts w:ascii="Arial" w:cs="Arial" w:eastAsia="Arial" w:hAnsi="Arial"/>
          <w:sz w:val="16"/>
          <w:szCs w:val="16"/>
          <w:b w:val="1"/>
          <w:bCs w:val="1"/>
          <w:color w:val="auto"/>
        </w:rPr>
      </w:pPr>
    </w:p>
    <w:p>
      <w:pPr>
        <w:ind w:right="200" w:firstLine="436"/>
        <w:spacing w:after="0" w:line="261" w:lineRule="auto"/>
        <w:tabs>
          <w:tab w:leader="none" w:pos="71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Agreement shall be binding on and inure to the benefit of the parties hereto and their respective heirs, executors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and assigns, except that the rights and obligations of the Executive hereunder are personal and may not be assigned without the Company’s prior written consent. Any assignment of this Agreement by the Company shall not be considered a termination of the Executive’s employment.</w:t>
      </w:r>
    </w:p>
    <w:p>
      <w:pPr>
        <w:spacing w:after="0" w:line="179" w:lineRule="exact"/>
        <w:rPr>
          <w:rFonts w:ascii="Arial" w:cs="Arial" w:eastAsia="Arial" w:hAnsi="Arial"/>
          <w:sz w:val="18"/>
          <w:szCs w:val="18"/>
          <w:b w:val="1"/>
          <w:bCs w:val="1"/>
          <w:color w:val="auto"/>
        </w:rPr>
      </w:pPr>
    </w:p>
    <w:p>
      <w:pPr>
        <w:ind w:right="280" w:firstLine="436"/>
        <w:spacing w:after="0" w:line="312" w:lineRule="auto"/>
        <w:tabs>
          <w:tab w:leader="none" w:pos="71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constitutes the final and entire agreement of the parties with respect to the matters covered hereby and</w:t>
      </w:r>
      <w:r>
        <w:rPr>
          <w:rFonts w:ascii="Arial" w:cs="Arial" w:eastAsia="Arial" w:hAnsi="Arial"/>
          <w:sz w:val="17"/>
          <w:szCs w:val="17"/>
          <w:b w:val="1"/>
          <w:bCs w:val="1"/>
          <w:color w:val="auto"/>
        </w:rPr>
        <w:t xml:space="preserve"> </w:t>
      </w:r>
      <w:r>
        <w:rPr>
          <w:rFonts w:ascii="Arial" w:cs="Arial" w:eastAsia="Arial" w:hAnsi="Arial"/>
          <w:sz w:val="17"/>
          <w:szCs w:val="17"/>
          <w:color w:val="auto"/>
        </w:rPr>
        <w:t>replaces and supersedes all other agreements and understandings relating hereto and to the Executive’s employment.</w:t>
      </w:r>
    </w:p>
    <w:p>
      <w:pPr>
        <w:spacing w:after="0" w:line="139" w:lineRule="exact"/>
        <w:rPr>
          <w:rFonts w:ascii="Arial" w:cs="Arial" w:eastAsia="Arial" w:hAnsi="Arial"/>
          <w:sz w:val="17"/>
          <w:szCs w:val="17"/>
          <w:b w:val="1"/>
          <w:bCs w:val="1"/>
          <w:color w:val="auto"/>
        </w:rPr>
      </w:pPr>
    </w:p>
    <w:p>
      <w:pPr>
        <w:ind w:firstLine="436"/>
        <w:spacing w:after="0" w:line="261" w:lineRule="auto"/>
        <w:tabs>
          <w:tab w:leader="none" w:pos="71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any number of counterparts, all of which together shall for all purposes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Counterpart signature pages to this Agreement transmitted by facsimile transmission, by electronic mail in “portable document format” or “.pdf” form, or by any other electronic means intended to preserve the original graphic and pictorial appearance of a document, will have the same effect as physical delivery of the paper document bearing an original signature.</w:t>
      </w:r>
    </w:p>
    <w:p>
      <w:pPr>
        <w:spacing w:after="0" w:line="179" w:lineRule="exact"/>
        <w:rPr>
          <w:rFonts w:ascii="Arial" w:cs="Arial" w:eastAsia="Arial" w:hAnsi="Arial"/>
          <w:sz w:val="18"/>
          <w:szCs w:val="18"/>
          <w:b w:val="1"/>
          <w:bCs w:val="1"/>
          <w:color w:val="auto"/>
        </w:rPr>
      </w:pPr>
    </w:p>
    <w:p>
      <w:pPr>
        <w:ind w:right="160" w:firstLine="436"/>
        <w:spacing w:after="0" w:line="266" w:lineRule="auto"/>
        <w:tabs>
          <w:tab w:leader="none" w:pos="71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Conflicting Agreements</w:t>
      </w:r>
      <w:r>
        <w:rPr>
          <w:rFonts w:ascii="Arial" w:cs="Arial" w:eastAsia="Arial" w:hAnsi="Arial"/>
          <w:sz w:val="18"/>
          <w:szCs w:val="18"/>
          <w:color w:val="auto"/>
        </w:rPr>
        <w:t>. The Executive represents and warrants to the Company that the Executive is not a party to or bound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noncompetition, nonsolicitation, employment, consulting or other agreement or restriction which could conflict with, or be violated by, the performance of the Executive’s duties to the Company or obligations under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4" w:name="page245"/>
    <w:bookmarkEnd w:id="244"/>
    <w:p>
      <w:pPr>
        <w:ind w:left="-436" w:firstLine="436"/>
        <w:spacing w:after="0" w:line="282" w:lineRule="auto"/>
        <w:tabs>
          <w:tab w:leader="none" w:pos="27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Captions</w:t>
      </w:r>
      <w:r>
        <w:rPr>
          <w:rFonts w:ascii="Arial" w:cs="Arial" w:eastAsia="Arial" w:hAnsi="Arial"/>
          <w:sz w:val="18"/>
          <w:szCs w:val="18"/>
          <w:color w:val="auto"/>
        </w:rPr>
        <w:t>. The captions of the sections of this Agreement are for convenience of reference only and in no way define, limit or affect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or substance of any section of this Agreement.</w:t>
      </w:r>
    </w:p>
    <w:p>
      <w:pPr>
        <w:spacing w:after="0" w:line="161" w:lineRule="exact"/>
        <w:rPr>
          <w:rFonts w:ascii="Arial" w:cs="Arial" w:eastAsia="Arial" w:hAnsi="Arial"/>
          <w:sz w:val="18"/>
          <w:szCs w:val="18"/>
          <w:b w:val="1"/>
          <w:bCs w:val="1"/>
          <w:color w:val="auto"/>
        </w:rPr>
      </w:pPr>
    </w:p>
    <w:p>
      <w:pPr>
        <w:ind w:left="-436" w:right="40" w:firstLine="436"/>
        <w:spacing w:after="0" w:line="261" w:lineRule="auto"/>
        <w:tabs>
          <w:tab w:leader="none" w:pos="27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No Strict Construction</w:t>
      </w:r>
      <w:r>
        <w:rPr>
          <w:rFonts w:ascii="Arial" w:cs="Arial" w:eastAsia="Arial" w:hAnsi="Arial"/>
          <w:sz w:val="18"/>
          <w:szCs w:val="18"/>
          <w:color w:val="auto"/>
        </w:rPr>
        <w:t>. The parties hereto have participated jointly in the negotiation and drafting of this Agreement. In the event an</w:t>
      </w:r>
      <w:r>
        <w:rPr>
          <w:rFonts w:ascii="Arial" w:cs="Arial" w:eastAsia="Arial" w:hAnsi="Arial"/>
          <w:sz w:val="18"/>
          <w:szCs w:val="18"/>
          <w:b w:val="1"/>
          <w:bCs w:val="1"/>
          <w:color w:val="auto"/>
        </w:rPr>
        <w:t xml:space="preserve"> </w:t>
      </w:r>
      <w:r>
        <w:rPr>
          <w:rFonts w:ascii="Arial" w:cs="Arial" w:eastAsia="Arial" w:hAnsi="Arial"/>
          <w:sz w:val="18"/>
          <w:szCs w:val="18"/>
          <w:color w:val="auto"/>
        </w:rPr>
        <w:t>ambiguity or question of intent or 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spacing w:after="0" w:line="179" w:lineRule="exact"/>
        <w:rPr>
          <w:rFonts w:ascii="Arial" w:cs="Arial" w:eastAsia="Arial" w:hAnsi="Arial"/>
          <w:sz w:val="18"/>
          <w:szCs w:val="18"/>
          <w:b w:val="1"/>
          <w:bCs w:val="1"/>
          <w:color w:val="auto"/>
        </w:rPr>
      </w:pPr>
    </w:p>
    <w:p>
      <w:pPr>
        <w:jc w:val="both"/>
        <w:ind w:left="-436" w:right="640" w:firstLine="436"/>
        <w:spacing w:after="0" w:line="266" w:lineRule="auto"/>
        <w:tabs>
          <w:tab w:leader="none" w:pos="27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New Employer</w:t>
      </w:r>
      <w:r>
        <w:rPr>
          <w:rFonts w:ascii="Arial" w:cs="Arial" w:eastAsia="Arial" w:hAnsi="Arial"/>
          <w:sz w:val="18"/>
          <w:szCs w:val="18"/>
          <w:color w:val="auto"/>
        </w:rPr>
        <w:t>. In the event that the Executive is no longer an Executive of the Company, the Executive consents to</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by the Company to the Executive’s new employer or its agents regarding the Executive’s obligations under Sections 5 and 6 of this Agreement.</w:t>
      </w:r>
    </w:p>
    <w:p>
      <w:pPr>
        <w:spacing w:after="0" w:line="175" w:lineRule="exact"/>
        <w:rPr>
          <w:rFonts w:ascii="Arial" w:cs="Arial" w:eastAsia="Arial" w:hAnsi="Arial"/>
          <w:sz w:val="18"/>
          <w:szCs w:val="18"/>
          <w:b w:val="1"/>
          <w:bCs w:val="1"/>
          <w:color w:val="auto"/>
        </w:rPr>
      </w:pPr>
    </w:p>
    <w:p>
      <w:pPr>
        <w:ind w:left="-436" w:right="280" w:firstLine="436"/>
        <w:spacing w:after="0" w:line="266" w:lineRule="auto"/>
        <w:tabs>
          <w:tab w:leader="none" w:pos="27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Key Man Insurance</w:t>
      </w:r>
      <w:r>
        <w:rPr>
          <w:rFonts w:ascii="Arial" w:cs="Arial" w:eastAsia="Arial" w:hAnsi="Arial"/>
          <w:sz w:val="18"/>
          <w:szCs w:val="18"/>
          <w:color w:val="auto"/>
        </w:rPr>
        <w:t>. The Executive acknowledges that the Company may wish to purchase insurance on the life of the Executive,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of which would be payable to the Company or an affiliate of the Company. The Executive hereby consents to such insurance and agrees to submit to any medical examination and release of medical records required to obtain such insurance.</w:t>
      </w:r>
    </w:p>
    <w:p>
      <w:pPr>
        <w:spacing w:after="0" w:line="180" w:lineRule="exact"/>
        <w:rPr>
          <w:sz w:val="20"/>
          <w:szCs w:val="20"/>
          <w:color w:val="auto"/>
        </w:rPr>
      </w:pPr>
    </w:p>
    <w:p>
      <w:pPr>
        <w:jc w:val="center"/>
        <w:ind w:left="4984" w:right="3400" w:hanging="1934"/>
        <w:spacing w:after="0" w:line="449" w:lineRule="auto"/>
        <w:tabs>
          <w:tab w:leader="none" w:pos="3157"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 ]</w:t>
      </w:r>
      <w:r>
        <w:rPr>
          <w:rFonts w:ascii="Arial" w:cs="Arial" w:eastAsia="Arial" w:hAnsi="Arial"/>
          <w:sz w:val="18"/>
          <w:szCs w:val="18"/>
          <w:i w:val="1"/>
          <w:iCs w:val="1"/>
          <w:color w:val="auto"/>
        </w:rPr>
        <w:t xml:space="preserve"> </w:t>
      </w:r>
      <w:r>
        <w:rPr>
          <w:rFonts w:ascii="Arial" w:cs="Arial" w:eastAsia="Arial" w:hAnsi="Arial"/>
          <w:sz w:val="18"/>
          <w:szCs w:val="18"/>
          <w:color w:val="auto"/>
        </w:rPr>
        <w:t>11</w:t>
      </w:r>
    </w:p>
    <w:p>
      <w:pPr>
        <w:sectPr>
          <w:pgSz w:w="11900" w:h="16838" w:orient="portrait"/>
          <w:cols w:equalWidth="0" w:num="1">
            <w:col w:w="10484"/>
          </w:cols>
          <w:pgMar w:left="876" w:top="270" w:right="539" w:bottom="1440" w:gutter="0" w:footer="0" w:header="0"/>
        </w:sectPr>
      </w:pPr>
    </w:p>
    <w:bookmarkStart w:id="245" w:name="page246"/>
    <w:bookmarkEnd w:id="2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and delivered as a sealed instrument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DEFINITIVE HEALTHCARE,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Definitive Healthcare Holdings,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Member-Manager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Jason Krantz</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Jason Krantz</w:t>
      </w:r>
    </w:p>
    <w:p>
      <w:pPr>
        <w:sectPr>
          <w:pgSz w:w="11900" w:h="16838" w:orient="portrait"/>
          <w:cols w:equalWidth="0" w:num="1">
            <w:col w:w="9579"/>
          </w:cols>
          <w:pgMar w:left="880" w:top="274" w:right="1440"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480" w:firstLine="440"/>
        <w:spacing w:after="0" w:line="312" w:lineRule="auto"/>
        <w:rPr>
          <w:sz w:val="20"/>
          <w:szCs w:val="20"/>
          <w:color w:val="auto"/>
        </w:rPr>
      </w:pPr>
      <w:r>
        <w:rPr>
          <w:rFonts w:ascii="Arial" w:cs="Arial" w:eastAsia="Arial" w:hAnsi="Arial"/>
          <w:sz w:val="17"/>
          <w:szCs w:val="17"/>
          <w:color w:val="auto"/>
        </w:rPr>
        <w:t>This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dated as of January 29th, 2021 (“</w:t>
      </w:r>
      <w:r>
        <w:rPr>
          <w:rFonts w:ascii="Arial" w:cs="Arial" w:eastAsia="Arial" w:hAnsi="Arial"/>
          <w:sz w:val="17"/>
          <w:szCs w:val="17"/>
          <w:b w:val="1"/>
          <w:bCs w:val="1"/>
          <w:color w:val="auto"/>
        </w:rPr>
        <w:t>Effective Date</w:t>
      </w:r>
      <w:r>
        <w:rPr>
          <w:rFonts w:ascii="Arial" w:cs="Arial" w:eastAsia="Arial" w:hAnsi="Arial"/>
          <w:sz w:val="17"/>
          <w:szCs w:val="17"/>
          <w:color w:val="auto"/>
        </w:rPr>
        <w:t>”), is made and entered into by and between Definitive Healthcare, LLC, a Massachusetts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and Richard Booth (the “</w:t>
      </w:r>
      <w:r>
        <w:rPr>
          <w:rFonts w:ascii="Arial" w:cs="Arial" w:eastAsia="Arial" w:hAnsi="Arial"/>
          <w:sz w:val="17"/>
          <w:szCs w:val="17"/>
          <w:b w:val="1"/>
          <w:bCs w:val="1"/>
          <w:color w:val="auto"/>
        </w:rPr>
        <w:t>Executive</w:t>
      </w:r>
      <w:r>
        <w:rPr>
          <w:rFonts w:ascii="Arial" w:cs="Arial" w:eastAsia="Arial" w:hAnsi="Arial"/>
          <w:sz w:val="17"/>
          <w:szCs w:val="17"/>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desires to retain the services of the Executive pursuant to the terms and conditions set forth herein and the Executive wishes to be employed by the Company on such terms and conditions. The Executive will be a key Executive of the Company, with significant access to information concerning the Company and its business. The disclosure or misuse of such information or the engaging in competitive activities would cause substantial harm to the Company.</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166" w:lineRule="exact"/>
        <w:rPr>
          <w:sz w:val="20"/>
          <w:szCs w:val="20"/>
          <w:color w:val="auto"/>
        </w:rPr>
      </w:pPr>
    </w:p>
    <w:p>
      <w:pPr>
        <w:ind w:right="240" w:firstLine="436"/>
        <w:spacing w:after="0" w:line="266" w:lineRule="auto"/>
        <w:tabs>
          <w:tab w:leader="none" w:pos="62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w:t>
      </w:r>
      <w:r>
        <w:rPr>
          <w:rFonts w:ascii="Arial" w:cs="Arial" w:eastAsia="Arial" w:hAnsi="Arial"/>
          <w:sz w:val="18"/>
          <w:szCs w:val="18"/>
          <w:b w:val="1"/>
          <w:bCs w:val="1"/>
          <w:color w:val="auto"/>
        </w:rPr>
        <w:t xml:space="preserve"> Effective Date; Term. </w:t>
      </w:r>
      <w:r>
        <w:rPr>
          <w:rFonts w:ascii="Arial" w:cs="Arial" w:eastAsia="Arial" w:hAnsi="Arial"/>
          <w:sz w:val="18"/>
          <w:szCs w:val="18"/>
          <w:color w:val="auto"/>
        </w:rPr>
        <w:t>This Agreement shall become effective as of the Effective Date. The Company shall employ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until the Executive’s employment with the Company is terminated pursuant to Section 10. The Executive shall be employed on an “at will” basis. The Executive’s start date with the Company shall be March 15, 2021.</w:t>
      </w:r>
    </w:p>
    <w:p>
      <w:pPr>
        <w:spacing w:after="0" w:line="175" w:lineRule="exact"/>
        <w:rPr>
          <w:rFonts w:ascii="Arial" w:cs="Arial" w:eastAsia="Arial" w:hAnsi="Arial"/>
          <w:sz w:val="18"/>
          <w:szCs w:val="18"/>
          <w:b w:val="1"/>
          <w:bCs w:val="1"/>
          <w:color w:val="auto"/>
        </w:rPr>
      </w:pPr>
    </w:p>
    <w:p>
      <w:pPr>
        <w:ind w:right="280" w:firstLine="436"/>
        <w:spacing w:after="0" w:line="282" w:lineRule="auto"/>
        <w:tabs>
          <w:tab w:leader="none" w:pos="62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r>
        <w:rPr>
          <w:rFonts w:ascii="Arial" w:cs="Arial" w:eastAsia="Arial" w:hAnsi="Arial"/>
          <w:sz w:val="18"/>
          <w:szCs w:val="18"/>
          <w:color w:val="auto"/>
        </w:rPr>
        <w:t>. The Executive will serve as the Chief Financial Officer of the Company and shall have such duties of an executive nature,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such position. The Executive will report to the Chief Executive Officer.</w:t>
      </w:r>
    </w:p>
    <w:p>
      <w:pPr>
        <w:spacing w:after="0" w:line="161" w:lineRule="exact"/>
        <w:rPr>
          <w:rFonts w:ascii="Arial" w:cs="Arial" w:eastAsia="Arial" w:hAnsi="Arial"/>
          <w:sz w:val="18"/>
          <w:szCs w:val="18"/>
          <w:b w:val="1"/>
          <w:bCs w:val="1"/>
          <w:color w:val="auto"/>
        </w:rPr>
      </w:pPr>
    </w:p>
    <w:p>
      <w:pPr>
        <w:ind w:left="620" w:hanging="184"/>
        <w:spacing w:after="0"/>
        <w:tabs>
          <w:tab w:leader="none" w:pos="62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Full Time; Best Efforts</w:t>
      </w:r>
      <w:r>
        <w:rPr>
          <w:rFonts w:ascii="Arial" w:cs="Arial" w:eastAsia="Arial" w:hAnsi="Arial"/>
          <w:sz w:val="18"/>
          <w:szCs w:val="18"/>
          <w:color w:val="auto"/>
        </w:rPr>
        <w:t>.</w:t>
      </w:r>
    </w:p>
    <w:p>
      <w:pPr>
        <w:spacing w:after="0" w:line="229"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The Executive shall use the Executive’s best efforts to promote the interests of the Company and shall devote the Executive’s full business time and efforts to its business and affairs. The Executive shall not engage in any other activity that could reasonably be expected to interfere with the performance of the Executive’ s duties, services and responsibilities hereunder. Nothing in this Agreement shall preclude the Executive from engaging in charitable, volunteer, and professional activities and/or his service on the Boards of Charles River Associates and 33 Foundation, and, in the future, other Boards with the prior approval of the Chief Executive Officer provided that such activities do not materially interfere with the Executive’s proper performance of his duties and responsibilities on behalf of the Company.</w:t>
      </w:r>
    </w:p>
    <w:p>
      <w:pPr>
        <w:spacing w:after="0" w:line="174" w:lineRule="exact"/>
        <w:rPr>
          <w:sz w:val="20"/>
          <w:szCs w:val="20"/>
          <w:color w:val="auto"/>
        </w:rPr>
      </w:pPr>
    </w:p>
    <w:p>
      <w:pPr>
        <w:ind w:left="620" w:hanging="184"/>
        <w:spacing w:after="0"/>
        <w:tabs>
          <w:tab w:leader="none" w:pos="62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 During the Term, the Executive shall be entitled to compensation and benefits as follows:</w:t>
      </w:r>
    </w:p>
    <w:p>
      <w:pPr>
        <w:spacing w:after="0" w:line="225" w:lineRule="exact"/>
        <w:rPr>
          <w:rFonts w:ascii="Arial" w:cs="Arial" w:eastAsia="Arial" w:hAnsi="Arial"/>
          <w:sz w:val="18"/>
          <w:szCs w:val="18"/>
          <w:b w:val="1"/>
          <w:bCs w:val="1"/>
          <w:color w:val="auto"/>
        </w:rPr>
      </w:pPr>
    </w:p>
    <w:p>
      <w:pPr>
        <w:jc w:val="both"/>
        <w:ind w:right="80" w:firstLine="987"/>
        <w:spacing w:after="0" w:line="314" w:lineRule="auto"/>
        <w:tabs>
          <w:tab w:leader="none" w:pos="1236" w:val="left"/>
        </w:tabs>
        <w:numPr>
          <w:ilvl w:val="1"/>
          <w:numId w:val="194"/>
        </w:numPr>
        <w:rPr>
          <w:rFonts w:ascii="Arial" w:cs="Arial" w:eastAsia="Arial" w:hAnsi="Arial"/>
          <w:sz w:val="16"/>
          <w:szCs w:val="16"/>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The Executive will receive a salary at the rate of $350,000 annually (the “</w:t>
      </w:r>
      <w:r>
        <w:rPr>
          <w:rFonts w:ascii="Arial" w:cs="Arial" w:eastAsia="Arial" w:hAnsi="Arial"/>
          <w:sz w:val="16"/>
          <w:szCs w:val="16"/>
          <w:b w:val="1"/>
          <w:bCs w:val="1"/>
          <w:color w:val="auto"/>
        </w:rPr>
        <w:t>Base Salary</w:t>
      </w:r>
      <w:r>
        <w:rPr>
          <w:rFonts w:ascii="Arial" w:cs="Arial" w:eastAsia="Arial" w:hAnsi="Arial"/>
          <w:sz w:val="16"/>
          <w:szCs w:val="16"/>
          <w:color w:val="auto"/>
        </w:rPr>
        <w:t>”), payable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standard payroll practices. The Compensation Committee of the Management Board (the “</w:t>
      </w:r>
      <w:r>
        <w:rPr>
          <w:rFonts w:ascii="Arial" w:cs="Arial" w:eastAsia="Arial" w:hAnsi="Arial"/>
          <w:sz w:val="16"/>
          <w:szCs w:val="16"/>
          <w:b w:val="1"/>
          <w:bCs w:val="1"/>
          <w:color w:val="auto"/>
        </w:rPr>
        <w:t>Board</w:t>
      </w:r>
      <w:r>
        <w:rPr>
          <w:rFonts w:ascii="Arial" w:cs="Arial" w:eastAsia="Arial" w:hAnsi="Arial"/>
          <w:sz w:val="16"/>
          <w:szCs w:val="16"/>
          <w:color w:val="auto"/>
        </w:rPr>
        <w:t>”) of Definitive Healthcare Holdings, LLC (“</w:t>
      </w:r>
      <w:r>
        <w:rPr>
          <w:rFonts w:ascii="Arial" w:cs="Arial" w:eastAsia="Arial" w:hAnsi="Arial"/>
          <w:sz w:val="16"/>
          <w:szCs w:val="16"/>
          <w:b w:val="1"/>
          <w:bCs w:val="1"/>
          <w:color w:val="auto"/>
        </w:rPr>
        <w:t>Parent</w:t>
      </w:r>
      <w:r>
        <w:rPr>
          <w:rFonts w:ascii="Arial" w:cs="Arial" w:eastAsia="Arial" w:hAnsi="Arial"/>
          <w:sz w:val="16"/>
          <w:szCs w:val="16"/>
          <w:color w:val="auto"/>
        </w:rPr>
        <w:t>”) shall determine, on an annual basis and in its sole good faith discretion whether to increase the Executive’s Base Salary.</w:t>
      </w:r>
    </w:p>
    <w:p>
      <w:pPr>
        <w:sectPr>
          <w:pgSz w:w="11900" w:h="16838" w:orient="portrait"/>
          <w:cols w:equalWidth="0" w:num="1">
            <w:col w:w="11020"/>
          </w:cols>
          <w:pgMar w:left="440" w:top="121" w:right="439" w:bottom="1440" w:gutter="0" w:footer="0" w:header="0"/>
        </w:sectPr>
      </w:pPr>
    </w:p>
    <w:bookmarkStart w:id="247" w:name="page248"/>
    <w:bookmarkEnd w:id="247"/>
    <w:p>
      <w:pPr>
        <w:jc w:val="both"/>
        <w:ind w:right="60" w:firstLine="987"/>
        <w:spacing w:after="0" w:line="287" w:lineRule="auto"/>
        <w:tabs>
          <w:tab w:leader="none" w:pos="1246" w:val="left"/>
        </w:tabs>
        <w:numPr>
          <w:ilvl w:val="0"/>
          <w:numId w:val="19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Bonus</w:t>
      </w:r>
      <w:r>
        <w:rPr>
          <w:rFonts w:ascii="Arial" w:cs="Arial" w:eastAsia="Arial" w:hAnsi="Arial"/>
          <w:sz w:val="16"/>
          <w:szCs w:val="16"/>
          <w:color w:val="auto"/>
        </w:rPr>
        <w:t>. The Executive shall be eligible to receive an annual cash bonus (“</w:t>
      </w:r>
      <w:r>
        <w:rPr>
          <w:rFonts w:ascii="Arial" w:cs="Arial" w:eastAsia="Arial" w:hAnsi="Arial"/>
          <w:sz w:val="16"/>
          <w:szCs w:val="16"/>
          <w:b w:val="1"/>
          <w:bCs w:val="1"/>
          <w:color w:val="auto"/>
        </w:rPr>
        <w:t>Bonus</w:t>
      </w:r>
      <w:r>
        <w:rPr>
          <w:rFonts w:ascii="Arial" w:cs="Arial" w:eastAsia="Arial" w:hAnsi="Arial"/>
          <w:sz w:val="16"/>
          <w:szCs w:val="16"/>
          <w:color w:val="auto"/>
        </w:rPr>
        <w:t>”), based on the Company achieving specified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targets and other requirements which will be determined reasonably and in good faith on an annual basis for the corresponding year by the CEO and the Compensation Committee of the Board of Directors. For 2021, you will be eligible for an annual bonus of up to 65%ofyour Base Salary, broken into three levels based on the company achieving one of three annual company targets as follows: (i) 50% of Base Salary for the Base achievement, (ii)</w:t>
      </w:r>
    </w:p>
    <w:p>
      <w:pPr>
        <w:spacing w:after="0" w:line="2" w:lineRule="exact"/>
        <w:rPr>
          <w:rFonts w:ascii="Arial" w:cs="Arial" w:eastAsia="Arial" w:hAnsi="Arial"/>
          <w:sz w:val="16"/>
          <w:szCs w:val="16"/>
          <w:color w:val="auto"/>
        </w:rPr>
      </w:pPr>
    </w:p>
    <w:p>
      <w:pPr>
        <w:ind w:right="40"/>
        <w:spacing w:after="0" w:line="285" w:lineRule="auto"/>
        <w:rPr>
          <w:rFonts w:ascii="Arial" w:cs="Arial" w:eastAsia="Arial" w:hAnsi="Arial"/>
          <w:sz w:val="16"/>
          <w:szCs w:val="16"/>
          <w:color w:val="auto"/>
        </w:rPr>
      </w:pPr>
      <w:r>
        <w:rPr>
          <w:rFonts w:ascii="Arial" w:cs="Arial" w:eastAsia="Arial" w:hAnsi="Arial"/>
          <w:sz w:val="16"/>
          <w:szCs w:val="16"/>
          <w:color w:val="auto"/>
        </w:rPr>
        <w:t>57.5% for the Target achievement, or (iii) 65% for the Stretch achievement, depending on which target is met, if any. The aforementioned bonus shall be paid quarterly at a rate of 50% of your Base Salary on the last payroll cycle in the month following the end of each calendar quarter. At the end of the calendar year, the Company will true up the actual bonus that you would receive based on actual annual targets achieved offsetting any Bonus amounts previously paid to you during the calendar year, notwithstanding the foregoing, no amounts already paid will be clawed back. In the event the Company is not tracking to achieve any of the designated targets and no bonus appears payable, the Company may elect to forgo paying the quarterly bonus until a payout appears to be likely. The annual Bonus thresholds are paid out to the extent the Company targets meet or exceed the given thresholds, are not cumulative and are prorated to reflect the number of days during the quarter that the Executive was actually employed at the Company. Company targets shall be based on metrics established in the manner in which the Company has calculated Company metrics previously. The metrics tiers shall be determined by the Board at the start of the year and incorporated into the Company’s financial plan for 2021. The Executive must be actively employed by the Company through and including the date on which the Bonus, if any, is paid to be eligible to receive it. All bonus amounts unpaid as of the end of a calendar year shall be paid no later than March 15 of the following calendar year.</w:t>
      </w:r>
    </w:p>
    <w:p>
      <w:pPr>
        <w:spacing w:after="0" w:line="170" w:lineRule="exact"/>
        <w:rPr>
          <w:rFonts w:ascii="Arial" w:cs="Arial" w:eastAsia="Arial" w:hAnsi="Arial"/>
          <w:sz w:val="16"/>
          <w:szCs w:val="16"/>
          <w:color w:val="auto"/>
        </w:rPr>
      </w:pPr>
    </w:p>
    <w:p>
      <w:pPr>
        <w:ind w:left="1240" w:hanging="253"/>
        <w:spacing w:after="0"/>
        <w:tabs>
          <w:tab w:leader="none" w:pos="1240" w:val="left"/>
        </w:tabs>
        <w:numPr>
          <w:ilvl w:val="0"/>
          <w:numId w:val="195"/>
        </w:numPr>
        <w:rPr>
          <w:rFonts w:ascii="Arial" w:cs="Arial" w:eastAsia="Arial" w:hAnsi="Arial"/>
          <w:sz w:val="16"/>
          <w:szCs w:val="16"/>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The CEO agrees to make recommendation to the Board that the Executive receive management incentive units in Parent (the</w:t>
      </w:r>
    </w:p>
    <w:p>
      <w:pPr>
        <w:spacing w:after="0" w:line="5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MIUs</w:t>
      </w:r>
      <w:r>
        <w:rPr>
          <w:rFonts w:ascii="Arial" w:cs="Arial" w:eastAsia="Arial" w:hAnsi="Arial"/>
          <w:sz w:val="17"/>
          <w:szCs w:val="17"/>
          <w:color w:val="auto"/>
        </w:rPr>
        <w:t>”) equal to 800,000 shares. The distribution threshold shall be determined based on the company’s value pursuant to its 409(a)valuation performed in conjunction with its 2020 financial audit. The MIUs will vest pursuant to the terms of the applicable grant agreement. For this initial grant, 50% of the MIUs are time-based vesting, with 25% of the time based MIUs vesting on the one-year anniversary of the grant followed by quarterly vesting of 6.25% until fully vested, over 4 years. The remaining 50% will vest based on the return to the shareholders with clips at 2.0x, 2.5x and 3.0x return (for full vesting). If the Company conducts an Initial Public Offering, the performance-based MIUs shall revert to time vested and vest annually in equal installments over three years from the date of the Initial Public Offering.</w:t>
      </w:r>
    </w:p>
    <w:p>
      <w:pPr>
        <w:spacing w:after="0" w:line="174" w:lineRule="exact"/>
        <w:rPr>
          <w:sz w:val="20"/>
          <w:szCs w:val="20"/>
          <w:color w:val="auto"/>
        </w:rPr>
      </w:pPr>
    </w:p>
    <w:p>
      <w:pPr>
        <w:ind w:right="140" w:firstLine="987"/>
        <w:spacing w:after="0" w:line="314" w:lineRule="auto"/>
        <w:tabs>
          <w:tab w:leader="none" w:pos="1246" w:val="left"/>
        </w:tabs>
        <w:numPr>
          <w:ilvl w:val="0"/>
          <w:numId w:val="196"/>
        </w:numPr>
        <w:rPr>
          <w:rFonts w:ascii="Arial" w:cs="Arial" w:eastAsia="Arial" w:hAnsi="Arial"/>
          <w:sz w:val="16"/>
          <w:szCs w:val="16"/>
          <w:color w:val="auto"/>
        </w:rPr>
      </w:pPr>
      <w:r>
        <w:rPr>
          <w:rFonts w:ascii="Arial" w:cs="Arial" w:eastAsia="Arial" w:hAnsi="Arial"/>
          <w:sz w:val="16"/>
          <w:szCs w:val="16"/>
          <w:b w:val="1"/>
          <w:bCs w:val="1"/>
          <w:color w:val="auto"/>
        </w:rPr>
        <w:t>Benefits</w:t>
      </w:r>
      <w:r>
        <w:rPr>
          <w:rFonts w:ascii="Arial" w:cs="Arial" w:eastAsia="Arial" w:hAnsi="Arial"/>
          <w:sz w:val="16"/>
          <w:szCs w:val="16"/>
          <w:color w:val="auto"/>
        </w:rPr>
        <w:t>. In addition to the Base Salary and the Bonus (if any), the Executive shall be entitled to participate in Company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generally available to the Company’s executive employees in accordance with and subject to the then existing terms and conditions of such plans. If the Executive chooses to participate in the company health plan, the Company will reimburse 100% of the costs of the premiums of the policy</w:t>
      </w:r>
    </w:p>
    <w:p>
      <w:pPr>
        <w:spacing w:after="0" w:line="141" w:lineRule="exact"/>
        <w:rPr>
          <w:rFonts w:ascii="Arial" w:cs="Arial" w:eastAsia="Arial" w:hAnsi="Arial"/>
          <w:sz w:val="16"/>
          <w:szCs w:val="16"/>
          <w:color w:val="auto"/>
        </w:rPr>
      </w:pPr>
    </w:p>
    <w:p>
      <w:pPr>
        <w:ind w:right="320" w:firstLine="987"/>
        <w:spacing w:after="0" w:line="282" w:lineRule="auto"/>
        <w:tabs>
          <w:tab w:leader="none" w:pos="1236"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Paid Time Off</w:t>
      </w:r>
      <w:r>
        <w:rPr>
          <w:rFonts w:ascii="Arial" w:cs="Arial" w:eastAsia="Arial" w:hAnsi="Arial"/>
          <w:sz w:val="18"/>
          <w:szCs w:val="18"/>
          <w:color w:val="auto"/>
        </w:rPr>
        <w:t>. The Executive shall be entitled to five (5) weeks of paid time off (PTO) per year, excluding Company holidays. No</w:t>
      </w:r>
      <w:r>
        <w:rPr>
          <w:rFonts w:ascii="Arial" w:cs="Arial" w:eastAsia="Arial" w:hAnsi="Arial"/>
          <w:sz w:val="18"/>
          <w:szCs w:val="18"/>
          <w:b w:val="1"/>
          <w:bCs w:val="1"/>
          <w:color w:val="auto"/>
        </w:rPr>
        <w:t xml:space="preserve"> </w:t>
      </w:r>
      <w:r>
        <w:rPr>
          <w:rFonts w:ascii="Arial" w:cs="Arial" w:eastAsia="Arial" w:hAnsi="Arial"/>
          <w:sz w:val="18"/>
          <w:szCs w:val="18"/>
          <w:color w:val="auto"/>
        </w:rPr>
        <w:t>paid time off will be carried over across calendar years.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48" w:name="page249"/>
    <w:bookmarkEnd w:id="248"/>
    <w:p>
      <w:pPr>
        <w:ind w:left="-20" w:right="40" w:firstLine="987"/>
        <w:spacing w:after="0" w:line="271" w:lineRule="auto"/>
        <w:tabs>
          <w:tab w:leader="none" w:pos="1196" w:val="left"/>
        </w:tabs>
        <w:numPr>
          <w:ilvl w:val="1"/>
          <w:numId w:val="19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 of Documented Business Expenses</w:t>
      </w:r>
      <w:r>
        <w:rPr>
          <w:rFonts w:ascii="Arial" w:cs="Arial" w:eastAsia="Arial" w:hAnsi="Arial"/>
          <w:sz w:val="17"/>
          <w:szCs w:val="17"/>
          <w:color w:val="auto"/>
        </w:rPr>
        <w:t>. The Executive will be entitled to reimbursement of all reasonable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in the ordinary course of business on behalf of the Company, subject to the presentation of appropriate documentation and approved by, or in accordance with the Company’s policies as approved by the Board. If any reimbursement provided by the Company pursuant to this Agreement would constitute deferred compensation for purposes of Section 409A of the Internal Revenue Code of 1986, as amended (together with the regulations and guidance thereunder, “</w:t>
      </w:r>
      <w:r>
        <w:rPr>
          <w:rFonts w:ascii="Arial" w:cs="Arial" w:eastAsia="Arial" w:hAnsi="Arial"/>
          <w:sz w:val="17"/>
          <w:szCs w:val="17"/>
          <w:b w:val="1"/>
          <w:bCs w:val="1"/>
          <w:color w:val="auto"/>
        </w:rPr>
        <w:t>Section 409A</w:t>
      </w:r>
      <w:r>
        <w:rPr>
          <w:rFonts w:ascii="Arial" w:cs="Arial" w:eastAsia="Arial" w:hAnsi="Arial"/>
          <w:sz w:val="17"/>
          <w:szCs w:val="17"/>
          <w:color w:val="auto"/>
        </w:rPr>
        <w:t>”), such reimbursement shall be subject to the following rules: (i) the amounts to be reimbursed shall be determined pursuant to the terms of the applicable benefit plan, policy or agreement; (ii) the amounts eligible for reimbursement during any calendar year may not affect the expenses eligible for reimbursement in any other calendar year; (iii) any reimbursement of an eligible expense shall be made on or before the last day of the calendar year following the calendar year in which the expense was incurred; and (iv) the Executive’s right to reimbursement is not subject to liquidation or exchange for cash or another benefit.</w:t>
      </w:r>
    </w:p>
    <w:p>
      <w:pPr>
        <w:spacing w:after="0" w:line="173" w:lineRule="exact"/>
        <w:rPr>
          <w:rFonts w:ascii="Arial" w:cs="Arial" w:eastAsia="Arial" w:hAnsi="Arial"/>
          <w:sz w:val="17"/>
          <w:szCs w:val="17"/>
          <w:color w:val="auto"/>
        </w:rPr>
      </w:pPr>
    </w:p>
    <w:p>
      <w:pPr>
        <w:ind w:left="-20" w:right="660" w:firstLine="987"/>
        <w:spacing w:after="0" w:line="282" w:lineRule="auto"/>
        <w:tabs>
          <w:tab w:leader="none" w:pos="1226" w:val="left"/>
        </w:tabs>
        <w:numPr>
          <w:ilvl w:val="1"/>
          <w:numId w:val="197"/>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shall withhold from compensation payable to the Executive all applicable federal, state and local</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taxes required to be withheld by the Company under applicable law</w:t>
      </w:r>
    </w:p>
    <w:p>
      <w:pPr>
        <w:spacing w:after="0" w:line="161" w:lineRule="exact"/>
        <w:rPr>
          <w:rFonts w:ascii="Arial" w:cs="Arial" w:eastAsia="Arial" w:hAnsi="Arial"/>
          <w:sz w:val="18"/>
          <w:szCs w:val="18"/>
          <w:color w:val="auto"/>
        </w:rPr>
      </w:pPr>
    </w:p>
    <w:p>
      <w:pPr>
        <w:ind w:left="-20" w:firstLine="987"/>
        <w:spacing w:after="0" w:line="294" w:lineRule="auto"/>
        <w:tabs>
          <w:tab w:leader="none" w:pos="1226" w:val="left"/>
        </w:tabs>
        <w:numPr>
          <w:ilvl w:val="1"/>
          <w:numId w:val="197"/>
        </w:numPr>
        <w:rPr>
          <w:rFonts w:ascii="Arial" w:cs="Arial" w:eastAsia="Arial" w:hAnsi="Arial"/>
          <w:sz w:val="16"/>
          <w:szCs w:val="16"/>
          <w:color w:val="auto"/>
        </w:rPr>
      </w:pPr>
      <w:r>
        <w:rPr>
          <w:rFonts w:ascii="Arial" w:cs="Arial" w:eastAsia="Arial" w:hAnsi="Arial"/>
          <w:sz w:val="16"/>
          <w:szCs w:val="16"/>
          <w:b w:val="1"/>
          <w:bCs w:val="1"/>
          <w:color w:val="auto"/>
        </w:rPr>
        <w:t>Indemnification and D&amp;O Insurance</w:t>
      </w:r>
      <w:r>
        <w:rPr>
          <w:rFonts w:ascii="Arial" w:cs="Arial" w:eastAsia="Arial" w:hAnsi="Arial"/>
          <w:sz w:val="16"/>
          <w:szCs w:val="16"/>
          <w:color w:val="auto"/>
        </w:rPr>
        <w:t>. The Company shall, to the fullest extent permitted by law, as such may be amended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indemnify, defend, and hold harmless the Executive in accordance with, and subject to the terms and conditions of, Article XII (Indemnification) of the AIDH Amended and Restated Limited Liability Company Agreement, dated as of July 16, 2019 and, furthermore, the Company agrees to advance or reimburse as incurred all attorneys• fees and costs and any amounts expended in the course of defending the Executive. The Company further agrees that this Indemnification provision may only be modified by mutual consent. The Company will maintain a directors and officers liability policy covering Executive with coverage comparable or equal to that provided to other senior executives and Directors of the Company.</w:t>
      </w:r>
    </w:p>
    <w:p>
      <w:pPr>
        <w:spacing w:after="0" w:line="159" w:lineRule="exact"/>
        <w:rPr>
          <w:rFonts w:ascii="Arial" w:cs="Arial" w:eastAsia="Arial" w:hAnsi="Arial"/>
          <w:sz w:val="16"/>
          <w:szCs w:val="16"/>
          <w:color w:val="auto"/>
        </w:rPr>
      </w:pPr>
    </w:p>
    <w:p>
      <w:pPr>
        <w:ind w:left="-20" w:right="140" w:firstLine="436"/>
        <w:spacing w:after="0" w:line="282" w:lineRule="auto"/>
        <w:tabs>
          <w:tab w:leader="none" w:pos="60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Intellectual Property</w:t>
      </w:r>
      <w:r>
        <w:rPr>
          <w:rFonts w:ascii="Arial" w:cs="Arial" w:eastAsia="Arial" w:hAnsi="Arial"/>
          <w:sz w:val="18"/>
          <w:szCs w:val="18"/>
          <w:color w:val="auto"/>
        </w:rPr>
        <w:t>. The Executive agrees that during the Executive’s employment or other business relationship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whether or not under this Agreement, and at all times thereafter:</w:t>
      </w:r>
    </w:p>
    <w:p>
      <w:pPr>
        <w:spacing w:after="0" w:line="165" w:lineRule="exact"/>
        <w:rPr>
          <w:rFonts w:ascii="Arial" w:cs="Arial" w:eastAsia="Arial" w:hAnsi="Arial"/>
          <w:sz w:val="18"/>
          <w:szCs w:val="18"/>
          <w:b w:val="1"/>
          <w:bCs w:val="1"/>
          <w:color w:val="auto"/>
        </w:rPr>
      </w:pPr>
    </w:p>
    <w:p>
      <w:pPr>
        <w:ind w:left="-20" w:right="80" w:firstLine="987"/>
        <w:spacing w:after="0" w:line="270" w:lineRule="auto"/>
        <w:tabs>
          <w:tab w:leader="none" w:pos="1216"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The Executive will not at any time, directly or indirectly, disclose or divulge any Confidential Information, except as required in connection with the performance of the Executive’s duties for the Company, and except to the extent required by law (but only after the Executive has provided the Company with reasonable notice and opportunity to take action against any legally required disclosure). As used herein, “</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means all trade secrets and all other information of a business, financial, marketing, technical or other nature relating to the business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including, without limitation, any customer or vendor lists, prospective customer names, financial statements and projections, know-how, pricing policies, operational methods, methods of doing business, technical processes, formulae, designs and design projects, inventions, computer hardware, software programs, business plans and projects pertaining to the Company and including any information of others that the Company has agreed to keep confidential; provided, that Confidential Information shall not include any information that has entered or enters the public domain through no fault of the Executive.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0" w:right="479" w:bottom="1440" w:gutter="0" w:footer="0" w:header="0"/>
        </w:sectPr>
      </w:pPr>
    </w:p>
    <w:bookmarkStart w:id="249" w:name="page250"/>
    <w:bookmarkEnd w:id="249"/>
    <w:p>
      <w:pPr>
        <w:ind w:right="140" w:firstLine="987"/>
        <w:spacing w:after="0" w:line="277" w:lineRule="auto"/>
        <w:tabs>
          <w:tab w:leader="none" w:pos="1246" w:val="left"/>
        </w:tabs>
        <w:numPr>
          <w:ilvl w:val="1"/>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Executive shall make no use whatsoever, directly or indirectly, of any Confidential Information at any time, except as required in connection with the performance of the Executive’ s duties for the Company.</w:t>
      </w:r>
    </w:p>
    <w:p>
      <w:pPr>
        <w:spacing w:after="0" w:line="170" w:lineRule="exact"/>
        <w:rPr>
          <w:rFonts w:ascii="Arial" w:cs="Arial" w:eastAsia="Arial" w:hAnsi="Arial"/>
          <w:sz w:val="18"/>
          <w:szCs w:val="18"/>
          <w:color w:val="auto"/>
        </w:rPr>
      </w:pPr>
    </w:p>
    <w:p>
      <w:pPr>
        <w:ind w:right="540" w:firstLine="987"/>
        <w:spacing w:after="0" w:line="308" w:lineRule="auto"/>
        <w:tabs>
          <w:tab w:leader="none" w:pos="1236" w:val="left"/>
        </w:tabs>
        <w:numPr>
          <w:ilvl w:val="1"/>
          <w:numId w:val="199"/>
        </w:numPr>
        <w:rPr>
          <w:rFonts w:ascii="Arial" w:cs="Arial" w:eastAsia="Arial" w:hAnsi="Arial"/>
          <w:sz w:val="17"/>
          <w:szCs w:val="17"/>
          <w:color w:val="auto"/>
        </w:rPr>
      </w:pPr>
      <w:r>
        <w:rPr>
          <w:rFonts w:ascii="Arial" w:cs="Arial" w:eastAsia="Arial" w:hAnsi="Arial"/>
          <w:sz w:val="17"/>
          <w:szCs w:val="17"/>
          <w:color w:val="auto"/>
        </w:rPr>
        <w:t>Upon the Company’s request following termination of employment, the Executive shall immediately deliver to the Company all materials (including all soft and hard copies) in the Executive’s possession which contain or relate to Confidential Information.</w:t>
      </w:r>
    </w:p>
    <w:p>
      <w:pPr>
        <w:spacing w:after="0" w:line="146" w:lineRule="exact"/>
        <w:rPr>
          <w:rFonts w:ascii="Arial" w:cs="Arial" w:eastAsia="Arial" w:hAnsi="Arial"/>
          <w:sz w:val="17"/>
          <w:szCs w:val="17"/>
          <w:color w:val="auto"/>
        </w:rPr>
      </w:pPr>
    </w:p>
    <w:p>
      <w:pPr>
        <w:ind w:firstLine="987"/>
        <w:spacing w:after="0" w:line="270" w:lineRule="auto"/>
        <w:tabs>
          <w:tab w:leader="none" w:pos="1246" w:val="left"/>
        </w:tabs>
        <w:numPr>
          <w:ilvl w:val="1"/>
          <w:numId w:val="199"/>
        </w:numPr>
        <w:rPr>
          <w:rFonts w:ascii="Arial" w:cs="Arial" w:eastAsia="Arial" w:hAnsi="Arial"/>
          <w:sz w:val="17"/>
          <w:szCs w:val="17"/>
          <w:color w:val="auto"/>
        </w:rPr>
      </w:pPr>
      <w:r>
        <w:rPr>
          <w:rFonts w:ascii="Arial" w:cs="Arial" w:eastAsia="Arial" w:hAnsi="Arial"/>
          <w:sz w:val="17"/>
          <w:szCs w:val="17"/>
          <w:color w:val="auto"/>
        </w:rPr>
        <w:t>All inventions, modifications, discoveries, designs, developments, improvements, processes, software programs, works of authorship, documentation, formulae, data, techniques, know-how, secrets or intellectual property rights or any interest therein (collectively, “</w:t>
      </w:r>
      <w:r>
        <w:rPr>
          <w:rFonts w:ascii="Arial" w:cs="Arial" w:eastAsia="Arial" w:hAnsi="Arial"/>
          <w:sz w:val="17"/>
          <w:szCs w:val="17"/>
          <w:b w:val="1"/>
          <w:bCs w:val="1"/>
          <w:color w:val="auto"/>
        </w:rPr>
        <w:t>Developments</w:t>
      </w:r>
      <w:r>
        <w:rPr>
          <w:rFonts w:ascii="Arial" w:cs="Arial" w:eastAsia="Arial" w:hAnsi="Arial"/>
          <w:sz w:val="17"/>
          <w:szCs w:val="17"/>
          <w:color w:val="auto"/>
        </w:rPr>
        <w:t>”) made by the Executive in connection with his employment with the Company whether or not under this Agreement, either alone or in conjunction with others, at any time or at any place during the Executive’s employment or other business relationship with the Company, whether or not under this Agreement and whether or not reduced to writing or practice during such period of employment, which relate to the business in which the Company is engaged or any actual or demonstrably anticipated research or development of the Company, shall be and hereby are the exclusive property of the Company without any further compensation to the Executive. In addition, without limiting the generality of the prior sentence, all Developments which are copyrightable work by the Executive are intended to be “workmade for hire” as defined in Section 101 of the Copyright Act of 1976, as amended, and shall be and hereby are the property of the Company.</w:t>
      </w:r>
    </w:p>
    <w:p>
      <w:pPr>
        <w:spacing w:after="0" w:line="180" w:lineRule="exact"/>
        <w:rPr>
          <w:rFonts w:ascii="Arial" w:cs="Arial" w:eastAsia="Arial" w:hAnsi="Arial"/>
          <w:sz w:val="17"/>
          <w:szCs w:val="17"/>
          <w:color w:val="auto"/>
        </w:rPr>
      </w:pPr>
    </w:p>
    <w:p>
      <w:pPr>
        <w:ind w:right="20" w:firstLine="987"/>
        <w:spacing w:after="0" w:line="288" w:lineRule="auto"/>
        <w:tabs>
          <w:tab w:leader="none" w:pos="1236"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Executive shall promptly disclose any Developments to the Company. If any Development is not the property of the Company by operation of law, this Agreement or otherwise, the Executive will, and hereby does, assign to the Company all right, title and interest in such Development, without further consideration, and will assist the Company and its nominees in every way, at the Company’s expense, to secure, maintain and defend the Company’ s rights in such Development. The Executive shall sign all instruments reasonably necessary for the filing and prosecution of any applications for, or extension or renewals of, letters patent (or other intellectual property registrations or filings) of the United States or any foreign country which the Company desires to file and relates to any Development. The Executive hereby irrevocably designates and appoints the Company and its duly authorized officers and agents as the Executive’ s agent and attorney-in-fact (which designation and appointment shall be deemed coupled with an interest and shall survive the Executive’ s death or incapacity), to act for and in the Executive’ 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w:t>
      </w:r>
    </w:p>
    <w:p>
      <w:pPr>
        <w:spacing w:after="0" w:line="164" w:lineRule="exact"/>
        <w:rPr>
          <w:rFonts w:ascii="Arial" w:cs="Arial" w:eastAsia="Arial" w:hAnsi="Arial"/>
          <w:sz w:val="16"/>
          <w:szCs w:val="16"/>
          <w:color w:val="auto"/>
        </w:rPr>
      </w:pPr>
    </w:p>
    <w:p>
      <w:pPr>
        <w:ind w:firstLine="436"/>
        <w:spacing w:after="0" w:line="282" w:lineRule="auto"/>
        <w:tabs>
          <w:tab w:leader="none" w:pos="62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w:t>
      </w:r>
      <w:r>
        <w:rPr>
          <w:rFonts w:ascii="Arial" w:cs="Arial" w:eastAsia="Arial" w:hAnsi="Arial"/>
          <w:sz w:val="18"/>
          <w:szCs w:val="18"/>
          <w:color w:val="auto"/>
        </w:rPr>
        <w:t>. The Executive agrees that during the Executive’s employment or other business relationship with the Company,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and for a period of one year thereafter (the “</w:t>
      </w:r>
      <w:r>
        <w:rPr>
          <w:rFonts w:ascii="Arial" w:cs="Arial" w:eastAsia="Arial" w:hAnsi="Arial"/>
          <w:sz w:val="18"/>
          <w:szCs w:val="18"/>
          <w:b w:val="1"/>
          <w:bCs w:val="1"/>
          <w:color w:val="auto"/>
        </w:rPr>
        <w:t>Restricted Period</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right="100" w:firstLine="987"/>
        <w:spacing w:after="0" w:line="257" w:lineRule="auto"/>
        <w:tabs>
          <w:tab w:leader="none" w:pos="123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Executive will not, directly or indirectly, individually or as a consultant to, or an Executive, officer, director, manager, stockholder, partner, member or other owner or participant in any business entice away from the Company, reduce the amount of business conducted with the Company by or otherwise materially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50" w:name="page251"/>
    <w:bookmarkEnd w:id="250"/>
    <w:p>
      <w:pPr>
        <w:ind w:left="4" w:right="40" w:firstLine="987"/>
        <w:spacing w:after="0" w:line="311" w:lineRule="auto"/>
        <w:tabs>
          <w:tab w:leader="none" w:pos="1250" w:val="left"/>
        </w:tabs>
        <w:numPr>
          <w:ilvl w:val="2"/>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Executive will not, directly or indirectly, individually or as a consultant to, or an Executive, officer, director, manager, stockholder, partner, member or other owner or participant in any business entity offer employment to or otherwise interfere with the business relationship of the Company with any person or entity who is, or was within the one-year period immediately prior thereto, employed by the Company.</w:t>
      </w:r>
    </w:p>
    <w:p>
      <w:pPr>
        <w:spacing w:after="0" w:line="144" w:lineRule="exact"/>
        <w:rPr>
          <w:rFonts w:ascii="Arial" w:cs="Arial" w:eastAsia="Arial" w:hAnsi="Arial"/>
          <w:sz w:val="16"/>
          <w:szCs w:val="16"/>
          <w:color w:val="auto"/>
        </w:rPr>
      </w:pPr>
    </w:p>
    <w:p>
      <w:pPr>
        <w:ind w:left="4" w:firstLine="436"/>
        <w:spacing w:after="0" w:line="255" w:lineRule="auto"/>
        <w:tabs>
          <w:tab w:leader="none" w:pos="624"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Without limiting the remedies available to the Company, the Executive acknowledges that a breach of any of the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Sections 5 or 6 hereof could result in irreparable injury to the Company for which there might be no adequate remedy at law, and that, in the event of such a breach or threat thereof, the Company shall be entitled to obtain a temporary restraining order and/or a preliminary injunction and a permanent injunction restraining the Executive from engaging in any activities prohibited by Sections 5 or 6 hereof or such other equitable relief as may be required to enforce specifically any of the covenants contained in Sections 5 or 6 hereof. The foregoing provisions and the provisions of Sections 5 and 6 hereof shall survive the termination of the Executive’s employment with the Company, and shall continue thereafter in full force and effect in accordance with their terms.</w:t>
      </w:r>
    </w:p>
    <w:p>
      <w:pPr>
        <w:spacing w:after="0" w:line="188" w:lineRule="exact"/>
        <w:rPr>
          <w:rFonts w:ascii="Arial" w:cs="Arial" w:eastAsia="Arial" w:hAnsi="Arial"/>
          <w:sz w:val="18"/>
          <w:szCs w:val="18"/>
          <w:b w:val="1"/>
          <w:bCs w:val="1"/>
          <w:color w:val="auto"/>
        </w:rPr>
      </w:pPr>
    </w:p>
    <w:p>
      <w:pPr>
        <w:ind w:left="4" w:right="80" w:firstLine="436"/>
        <w:spacing w:after="0" w:line="347" w:lineRule="auto"/>
        <w:tabs>
          <w:tab w:leader="none" w:pos="624" w:val="left"/>
        </w:tabs>
        <w:numPr>
          <w:ilvl w:val="1"/>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Applicability to Related Companies</w:t>
      </w:r>
      <w:r>
        <w:rPr>
          <w:rFonts w:ascii="Arial" w:cs="Arial" w:eastAsia="Arial" w:hAnsi="Arial"/>
          <w:sz w:val="16"/>
          <w:szCs w:val="16"/>
          <w:color w:val="auto"/>
        </w:rPr>
        <w:t>. For purposes of Sections 5, 6 and 7 of this Agreement, the term “Company” shall include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Parent and each of their respective subsidiaries, whether now existing or hereinafter created, and their respective successors and assigns.</w:t>
      </w:r>
    </w:p>
    <w:p>
      <w:pPr>
        <w:spacing w:after="0" w:line="115" w:lineRule="exact"/>
        <w:rPr>
          <w:rFonts w:ascii="Arial" w:cs="Arial" w:eastAsia="Arial" w:hAnsi="Arial"/>
          <w:sz w:val="16"/>
          <w:szCs w:val="16"/>
          <w:b w:val="1"/>
          <w:bCs w:val="1"/>
          <w:color w:val="auto"/>
        </w:rPr>
      </w:pPr>
    </w:p>
    <w:p>
      <w:pPr>
        <w:ind w:left="4" w:right="20" w:firstLine="436"/>
        <w:spacing w:after="0" w:line="303" w:lineRule="auto"/>
        <w:tabs>
          <w:tab w:leader="none" w:pos="624" w:val="left"/>
        </w:tabs>
        <w:numPr>
          <w:ilvl w:val="1"/>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Review of Agreement; Reasonable Restrictions</w:t>
      </w:r>
      <w:r>
        <w:rPr>
          <w:rFonts w:ascii="Arial" w:cs="Arial" w:eastAsia="Arial" w:hAnsi="Arial"/>
          <w:sz w:val="16"/>
          <w:szCs w:val="16"/>
          <w:color w:val="auto"/>
        </w:rPr>
        <w:t>. The Executive (a) has carefully read and understands all of the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has had the opportunity for this Agreement to be reviewed by counsel, (b) acknowledges that the duration, scope and subject matter of Sections 5 through 8 of this Agreement are reasonable and necessary to protect the goodwill, customer relationships, legitimate business interests and Confidential Information of the Company and its affiliates, and (c) will be able to earn a satisfactory livelihood without violating this Agreement.</w:t>
      </w:r>
    </w:p>
    <w:p>
      <w:pPr>
        <w:spacing w:after="0" w:line="150" w:lineRule="exact"/>
        <w:rPr>
          <w:rFonts w:ascii="Arial" w:cs="Arial" w:eastAsia="Arial" w:hAnsi="Arial"/>
          <w:sz w:val="16"/>
          <w:szCs w:val="16"/>
          <w:b w:val="1"/>
          <w:bCs w:val="1"/>
          <w:color w:val="auto"/>
        </w:rPr>
      </w:pPr>
    </w:p>
    <w:p>
      <w:pPr>
        <w:ind w:left="704" w:hanging="264"/>
        <w:spacing w:after="0"/>
        <w:tabs>
          <w:tab w:leader="none" w:pos="704"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2"/>
          <w:numId w:val="202"/>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Executive’s employment with the Company may be terminated at any time (i) by the Company with or without Cause,</w:t>
      </w:r>
    </w:p>
    <w:p>
      <w:pPr>
        <w:spacing w:after="0" w:line="50" w:lineRule="exact"/>
        <w:rPr>
          <w:rFonts w:ascii="Arial" w:cs="Arial" w:eastAsia="Arial" w:hAnsi="Arial"/>
          <w:sz w:val="16"/>
          <w:szCs w:val="16"/>
          <w:color w:val="auto"/>
        </w:rPr>
      </w:pPr>
    </w:p>
    <w:p>
      <w:pPr>
        <w:ind w:left="4" w:right="100" w:hanging="4"/>
        <w:spacing w:after="0" w:line="260" w:lineRule="auto"/>
        <w:tabs>
          <w:tab w:leader="none" w:pos="26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by the Executive for any or no reason, or (iii) by the Company or the Executive in the event of the Executive’s Disability, and shall terminate in the event of the Executive’s death.</w:t>
      </w:r>
    </w:p>
    <w:p>
      <w:pPr>
        <w:spacing w:after="0" w:line="181" w:lineRule="exact"/>
        <w:rPr>
          <w:rFonts w:ascii="Arial" w:cs="Arial" w:eastAsia="Arial" w:hAnsi="Arial"/>
          <w:sz w:val="18"/>
          <w:szCs w:val="18"/>
          <w:color w:val="auto"/>
        </w:rPr>
      </w:pPr>
    </w:p>
    <w:p>
      <w:pPr>
        <w:ind w:left="1244" w:hanging="253"/>
        <w:spacing w:after="0"/>
        <w:tabs>
          <w:tab w:leader="none" w:pos="1244" w:val="left"/>
        </w:tabs>
        <w:numPr>
          <w:ilvl w:val="2"/>
          <w:numId w:val="203"/>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following terms shall have the following meanings:</w:t>
      </w:r>
    </w:p>
    <w:p>
      <w:pPr>
        <w:spacing w:after="0" w:line="225" w:lineRule="exact"/>
        <w:rPr>
          <w:sz w:val="20"/>
          <w:szCs w:val="20"/>
          <w:color w:val="auto"/>
        </w:rPr>
      </w:pPr>
    </w:p>
    <w:p>
      <w:pPr>
        <w:jc w:val="both"/>
        <w:ind w:left="4" w:right="54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that the Executive has: (i) knowingly and willfully breached any fiduciary duty or any material legal or contractual obligation to the Company, which breach, if curable, is not cured within 15 days after written notice to the Executive thereof or, if cured, recurs;</w:t>
      </w:r>
    </w:p>
    <w:p>
      <w:pPr>
        <w:spacing w:after="0" w:line="1" w:lineRule="exact"/>
        <w:rPr>
          <w:sz w:val="20"/>
          <w:szCs w:val="20"/>
          <w:color w:val="auto"/>
        </w:rPr>
      </w:pPr>
    </w:p>
    <w:p>
      <w:pPr>
        <w:ind w:left="5464" w:right="4100" w:hanging="5464"/>
        <w:spacing w:after="0" w:line="433" w:lineRule="auto"/>
        <w:tabs>
          <w:tab w:leader="none" w:pos="26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failed to follow any reasonable directive of the Board, which failure, if curable, is not cured 5</w:t>
      </w:r>
    </w:p>
    <w:p>
      <w:pPr>
        <w:sectPr>
          <w:pgSz w:w="11900" w:h="16838" w:orient="portrait"/>
          <w:cols w:equalWidth="0" w:num="1">
            <w:col w:w="10964"/>
          </w:cols>
          <w:pgMar w:left="436" w:top="274" w:right="499" w:bottom="1440" w:gutter="0" w:footer="0" w:header="0"/>
        </w:sectPr>
      </w:pPr>
    </w:p>
    <w:bookmarkStart w:id="251" w:name="page252"/>
    <w:bookmarkEnd w:id="251"/>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15 days after written notice to the Executive thereof or, if cured, recurs; (iii) engaged in gross negligence, fraud, embezzlement, acts of dishonesty or knowing and willful conflict of interest relating to the affairs of the Company or any of its affiliates; (iv) been convicted of or pleaded nolo contendere to (A) any misdemeanor relating to the affairs of the Company or any of its affiliates or (B) any felony (excluding any motor vehicle offense for which a non-custodial sentence is received); or (v) engaged in a willful violation of any federal or state securities laws ; provided that no condition set forth in the preceding subsections (i) and (ii) will be deemed Cause unless within 30 days from the the date the Company initially became aware of the existence of such Cause, the Company notifies the Executive, in writing, describing the conditions giving rise to Cause and allowing the Executive fifteen (15) days’ notice to cure such condition.</w:t>
      </w:r>
    </w:p>
    <w:p>
      <w:pPr>
        <w:spacing w:after="0" w:line="191"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(a) a material diminution (of 10% or more) of the Base Salary or target Bonus (i.e. the size of the target Bonus that the Executive has the opportunity to earn) unless the Executive consents to such reduction.; or (b) any material breach by the Company of any written agreement between the Executive and the Company; or (c) a relocation of the principal office of the Company more than thirty (30) miles; (d) a material diminution of the duties, title, authority or responsibilities of the Executive other than those duties, titles, authority or responsibilities that are by their nature or specifically identified as temporary; and (e) the failure of the Company to obtain the assumption in writing of its obligations to fully perform this Agreement by any successor to all or substantially all of the of the assets of the Company within 15 days after request by Executive following a merger, consolidation, sale or similar transaction, provided that no condition set forth in the preceding will be deemed Good Reason unless the Company cures the condition(s) giving rise to Good Reason within 30 days from the date on which the Executive notifies the Company, in writing, of such condition(s).</w:t>
      </w:r>
    </w:p>
    <w:p>
      <w:pPr>
        <w:spacing w:after="0" w:line="188" w:lineRule="exact"/>
        <w:rPr>
          <w:sz w:val="20"/>
          <w:szCs w:val="20"/>
          <w:color w:val="auto"/>
        </w:rPr>
      </w:pPr>
    </w:p>
    <w:p>
      <w:pPr>
        <w:ind w:left="4" w:right="1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illness (mental or physical) or accident, which results in the Executive being unable to perform the Executive’s duties as an Executive of the Company as reasonably determined by a competent physician, for a period of 180 days, whether or not consecutive, in any 12-month period.</w:t>
      </w:r>
    </w:p>
    <w:p>
      <w:pPr>
        <w:spacing w:after="0" w:line="176" w:lineRule="exact"/>
        <w:rPr>
          <w:sz w:val="20"/>
          <w:szCs w:val="20"/>
          <w:color w:val="auto"/>
        </w:rPr>
      </w:pPr>
    </w:p>
    <w:p>
      <w:pPr>
        <w:ind w:left="4" w:right="20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Severance</w:t>
      </w:r>
      <w:r>
        <w:rPr>
          <w:rFonts w:ascii="Arial" w:cs="Arial" w:eastAsia="Arial" w:hAnsi="Arial"/>
          <w:sz w:val="16"/>
          <w:szCs w:val="16"/>
          <w:color w:val="auto"/>
        </w:rPr>
        <w:t>” means (i) continuation of regular payments of Base Salary (at the rate in effect on the date of termination) to the Executive for a period of twelve months from the date of termination of employment, payable in accordance with the Company’s regular payroll schedule;</w:t>
      </w:r>
    </w:p>
    <w:p>
      <w:pPr>
        <w:spacing w:after="0" w:line="1" w:lineRule="exact"/>
        <w:rPr>
          <w:sz w:val="20"/>
          <w:szCs w:val="20"/>
          <w:color w:val="auto"/>
        </w:rPr>
      </w:pPr>
    </w:p>
    <w:p>
      <w:pPr>
        <w:ind w:left="4" w:hanging="4"/>
        <w:spacing w:after="0" w:line="271" w:lineRule="auto"/>
        <w:tabs>
          <w:tab w:leader="none" w:pos="26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payment of the on-target Bonus to be earned by the Executive during the twelve month period following the date of termination of employment, within thirty (30) days following the date of termination; (iii) acceleration of the vesting of all stock options, restricted stock shares, Class B Units, profit interests, or other forms of equity (the “Equity”), awarded to the Executive by the Company at any time, that would otherwise have vested during the twelve-month period following the termination date. For the purposes of clarity the above acceleration of vesting will only apply to instruments that vest based on time. Instruments that vest based on performance will be excluded from this acceleration.</w:t>
      </w:r>
    </w:p>
    <w:p>
      <w:pPr>
        <w:spacing w:after="0" w:line="174" w:lineRule="exact"/>
        <w:rPr>
          <w:rFonts w:ascii="Arial" w:cs="Arial" w:eastAsia="Arial" w:hAnsi="Arial"/>
          <w:sz w:val="17"/>
          <w:szCs w:val="17"/>
          <w:color w:val="auto"/>
        </w:rPr>
      </w:pPr>
    </w:p>
    <w:p>
      <w:pPr>
        <w:ind w:left="4" w:right="20" w:firstLine="987"/>
        <w:spacing w:after="0" w:line="277" w:lineRule="auto"/>
        <w:tabs>
          <w:tab w:leader="none" w:pos="1240" w:val="left"/>
        </w:tabs>
        <w:numPr>
          <w:ilvl w:val="1"/>
          <w:numId w:val="205"/>
        </w:numPr>
        <w:rPr>
          <w:rFonts w:ascii="Arial" w:cs="Arial" w:eastAsia="Arial" w:hAnsi="Arial"/>
          <w:sz w:val="17"/>
          <w:szCs w:val="17"/>
          <w:color w:val="auto"/>
        </w:rPr>
      </w:pPr>
      <w:r>
        <w:rPr>
          <w:rFonts w:ascii="Arial" w:cs="Arial" w:eastAsia="Arial" w:hAnsi="Arial"/>
          <w:sz w:val="17"/>
          <w:szCs w:val="17"/>
          <w:b w:val="1"/>
          <w:bCs w:val="1"/>
          <w:color w:val="auto"/>
        </w:rPr>
        <w:t>Effects of Termination</w:t>
      </w:r>
      <w:r>
        <w:rPr>
          <w:rFonts w:ascii="Arial" w:cs="Arial" w:eastAsia="Arial" w:hAnsi="Arial"/>
          <w:sz w:val="17"/>
          <w:szCs w:val="17"/>
          <w:color w:val="auto"/>
        </w:rPr>
        <w:t>. If the Executive’s employment is terminated during the Term, the Company shall have no further obligation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any payments or provide any benefits to the Executive hereunder after the date of termination except for (i) payments of Base Salary and expense reimbursement that had accrued but had not been paid prior to the date of termination, (ii) if required by law, payments for any accrued but unused vacation time, and (iii) if the Executive’s employment with the Company is terminated by the Company without Cause (other than as a result of death or Disability of the Executive) or by the Executive for Good Reason, payments of Severance shall be due.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52" w:name="page253"/>
    <w:bookmarkEnd w:id="252"/>
    <w:p>
      <w:pPr>
        <w:ind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Severance benefits available to the Executive under this Section IO are the sole and executive severance payments and benefits to which the Executive may be entitled upon termination of the Executive’s employment. The Executive shall not be entitled to receive any other severance-related payments or benefits under any other plan or agreement which may from time to time be made available to other Executives of the Company or any affiliate.</w:t>
      </w:r>
    </w:p>
    <w:p>
      <w:pPr>
        <w:spacing w:after="0" w:line="183" w:lineRule="exact"/>
        <w:rPr>
          <w:sz w:val="20"/>
          <w:szCs w:val="20"/>
          <w:color w:val="auto"/>
        </w:rPr>
      </w:pPr>
    </w:p>
    <w:p>
      <w:pPr>
        <w:ind w:right="460" w:firstLine="987"/>
        <w:spacing w:after="0" w:line="282" w:lineRule="auto"/>
        <w:tabs>
          <w:tab w:leader="none" w:pos="1246"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Conditions and Limitations to Severance</w:t>
      </w:r>
      <w:r>
        <w:rPr>
          <w:rFonts w:ascii="Arial" w:cs="Arial" w:eastAsia="Arial" w:hAnsi="Arial"/>
          <w:sz w:val="18"/>
          <w:szCs w:val="18"/>
          <w:color w:val="auto"/>
        </w:rPr>
        <w:t>. Notwithstanding the foregoing, the Company’s obligation to pay Severance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provisions and conditions:</w:t>
      </w:r>
    </w:p>
    <w:p>
      <w:pPr>
        <w:spacing w:after="0" w:line="161" w:lineRule="exact"/>
        <w:rPr>
          <w:rFonts w:ascii="Arial" w:cs="Arial" w:eastAsia="Arial" w:hAnsi="Arial"/>
          <w:sz w:val="18"/>
          <w:szCs w:val="18"/>
          <w:color w:val="auto"/>
        </w:rPr>
      </w:pPr>
    </w:p>
    <w:p>
      <w:pPr>
        <w:ind w:right="20" w:firstLine="1428"/>
        <w:spacing w:after="0" w:line="282" w:lineRule="auto"/>
        <w:tabs>
          <w:tab w:leader="none" w:pos="1647" w:val="left"/>
        </w:tabs>
        <w:numPr>
          <w:ilvl w:val="1"/>
          <w:numId w:val="206"/>
        </w:numPr>
        <w:rPr>
          <w:rFonts w:ascii="Arial" w:cs="Arial" w:eastAsia="Arial" w:hAnsi="Arial"/>
          <w:sz w:val="18"/>
          <w:szCs w:val="18"/>
          <w:color w:val="auto"/>
        </w:rPr>
      </w:pPr>
      <w:r>
        <w:rPr>
          <w:rFonts w:ascii="Arial" w:cs="Arial" w:eastAsia="Arial" w:hAnsi="Arial"/>
          <w:sz w:val="18"/>
          <w:szCs w:val="18"/>
          <w:b w:val="1"/>
          <w:bCs w:val="1"/>
          <w:color w:val="auto"/>
        </w:rPr>
        <w:t>Release of Claims</w:t>
      </w:r>
      <w:r>
        <w:rPr>
          <w:rFonts w:ascii="Arial" w:cs="Arial" w:eastAsia="Arial" w:hAnsi="Arial"/>
          <w:sz w:val="18"/>
          <w:szCs w:val="18"/>
          <w:color w:val="auto"/>
        </w:rPr>
        <w:t>. The Company’s obligation to pay Severance shall be contingent upon the Executive signing a general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reasonably acceptable to the Company and Executive.</w:t>
      </w:r>
    </w:p>
    <w:p>
      <w:pPr>
        <w:spacing w:after="0" w:line="161" w:lineRule="exact"/>
        <w:rPr>
          <w:rFonts w:ascii="Arial" w:cs="Arial" w:eastAsia="Arial" w:hAnsi="Arial"/>
          <w:sz w:val="18"/>
          <w:szCs w:val="18"/>
          <w:color w:val="auto"/>
        </w:rPr>
      </w:pPr>
    </w:p>
    <w:p>
      <w:pPr>
        <w:ind w:right="260" w:firstLine="1428"/>
        <w:spacing w:after="0" w:line="281" w:lineRule="auto"/>
        <w:tabs>
          <w:tab w:leader="none" w:pos="1697" w:val="left"/>
        </w:tabs>
        <w:numPr>
          <w:ilvl w:val="1"/>
          <w:numId w:val="206"/>
        </w:numPr>
        <w:rPr>
          <w:rFonts w:ascii="Arial" w:cs="Arial" w:eastAsia="Arial" w:hAnsi="Arial"/>
          <w:sz w:val="17"/>
          <w:szCs w:val="17"/>
          <w:color w:val="auto"/>
        </w:rPr>
      </w:pPr>
      <w:r>
        <w:rPr>
          <w:rFonts w:ascii="Arial" w:cs="Arial" w:eastAsia="Arial" w:hAnsi="Arial"/>
          <w:sz w:val="17"/>
          <w:szCs w:val="17"/>
          <w:b w:val="1"/>
          <w:bCs w:val="1"/>
          <w:color w:val="auto"/>
        </w:rPr>
        <w:t>Consequences of Breach</w:t>
      </w:r>
      <w:r>
        <w:rPr>
          <w:rFonts w:ascii="Arial" w:cs="Arial" w:eastAsia="Arial" w:hAnsi="Arial"/>
          <w:sz w:val="17"/>
          <w:szCs w:val="17"/>
          <w:color w:val="auto"/>
        </w:rPr>
        <w:t>. If the Executive breaches the Executive’s obligations under Sections 4 or 5 of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immediately cease payments of Severance and may recover all Severance paid to the Executive after the date of such breach. The cessation and recovery of these payments shall be in addition to, and not as an alternative to. any other remedies at law or in equity available to the Company including, without limitation, the right to seek specific performance or an injunction.</w:t>
      </w:r>
    </w:p>
    <w:p>
      <w:pPr>
        <w:spacing w:after="0" w:line="169"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For purposes of Section 409A, each payment of Severance shall be considered a separate payment and not one of a series of payments. Any payment under this Section 10 that is not made during the period following the termination of the Employee’s employment because the Employee has not executed the release contemplated hereby shall be paid to the Employee in a single lump sum on the first payroll date following the last day of any applicable revocation period after the Employee executes the release; provided, that the Employee executes and does not revoke the release in accordance with the requirements hereof.</w:t>
      </w:r>
    </w:p>
    <w:p>
      <w:pPr>
        <w:spacing w:after="0" w:line="184" w:lineRule="exact"/>
        <w:rPr>
          <w:sz w:val="20"/>
          <w:szCs w:val="20"/>
          <w:color w:val="auto"/>
        </w:rPr>
      </w:pPr>
    </w:p>
    <w:p>
      <w:pPr>
        <w:ind w:right="280" w:firstLine="436"/>
        <w:spacing w:after="0" w:line="282" w:lineRule="auto"/>
        <w:tabs>
          <w:tab w:leader="none" w:pos="70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The provisions of Sections 5 through 24 of this Agreement shall survive the termination of the Executive’s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shall continue thereafter in full force and effect in accordance with their terms.</w:t>
      </w:r>
    </w:p>
    <w:p>
      <w:pPr>
        <w:spacing w:after="0" w:line="161" w:lineRule="exact"/>
        <w:rPr>
          <w:rFonts w:ascii="Arial" w:cs="Arial" w:eastAsia="Arial" w:hAnsi="Arial"/>
          <w:sz w:val="18"/>
          <w:szCs w:val="18"/>
          <w:b w:val="1"/>
          <w:bCs w:val="1"/>
          <w:color w:val="auto"/>
        </w:rPr>
      </w:pPr>
    </w:p>
    <w:p>
      <w:pPr>
        <w:ind w:firstLine="436"/>
        <w:spacing w:after="0" w:line="255" w:lineRule="auto"/>
        <w:tabs>
          <w:tab w:leader="none" w:pos="71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is intended to comply with the requirements of Section 409A and the regulations thereunder.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in this Agreement is ambiguous as to its compliance with Section 409A of the Code, the provision shall be interpreted in a manner so that no payment due to Executive shall be subject to an “additional tax” within the meaning of Section 409A(a)(l)(B) of the Code. To the extent that any provision in the Agreement is ambiguous as to its compliance with Section 409A of the Code, or to the extent any provision in the Agreement must be modified to comply with Section 409A of the Code, such provision shall be read, or shall be modified (with the mutual consent of the parties), as the case may be, in such a manner so that no payment due to Executive shall be subject to an “additional tax” within the meaning of Section 409A(a)(l)(B) of the Code.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253" w:name="page254"/>
    <w:bookmarkEnd w:id="253"/>
    <w:p>
      <w:pPr>
        <w:ind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Section 409A of the Code, each payment made under this Agreement shall be treated as a separate payment. In no event may Executive, directly or indirectly, designate the calendar year of any payment. All reimbursements provided under this Agreement shall be made or provided in accordance with the requirements of Section 409A of the Code, including, where applicable, the requirement that(i) any reimbursement be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7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Notwithstanding anything to the contrary herein, if a payment or benefit under this Agreement is due to a “separation from service” for purposes of the rules under Treas. Reg. § l .409 A-3(i)(2) (payments to specified employees upon a separation from service) and Executive is determined to be a “</w:t>
      </w:r>
      <w:r>
        <w:rPr>
          <w:rFonts w:ascii="Arial" w:cs="Arial" w:eastAsia="Arial" w:hAnsi="Arial"/>
          <w:sz w:val="16"/>
          <w:szCs w:val="16"/>
          <w:b w:val="1"/>
          <w:bCs w:val="1"/>
          <w:color w:val="auto"/>
        </w:rPr>
        <w:t>specified employee</w:t>
      </w:r>
      <w:r>
        <w:rPr>
          <w:rFonts w:ascii="Arial" w:cs="Arial" w:eastAsia="Arial" w:hAnsi="Arial"/>
          <w:sz w:val="16"/>
          <w:szCs w:val="16"/>
          <w:color w:val="auto"/>
        </w:rPr>
        <w:t>” (as determined under Treas. Reg. § l.409A-l (i)), such payment or benefit shall, to the extent necessary to comply with the requirements of Section 409A of the Code, be made or provided on the later of the date specified by the foregoing provisions of this Agreement or the date that is six months after the date of Executive’s separation from service (or, if earlier, the date of Executive’s death). Any installment payments that are delayed pursuant to this Section 12 shall be accumulated and paid in a lump sum on the first day of the seventh month following Executive’s separation from service, and the remaining installment payments shall begin on such date in accordance with the schedule provided in this Agreement.</w:t>
      </w:r>
    </w:p>
    <w:p>
      <w:pPr>
        <w:spacing w:after="0" w:line="162" w:lineRule="exact"/>
        <w:rPr>
          <w:sz w:val="20"/>
          <w:szCs w:val="20"/>
          <w:color w:val="auto"/>
        </w:rPr>
      </w:pPr>
    </w:p>
    <w:p>
      <w:pPr>
        <w:ind w:firstLine="436"/>
        <w:spacing w:after="0" w:line="277" w:lineRule="auto"/>
        <w:tabs>
          <w:tab w:leader="none" w:pos="71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color w:val="auto"/>
        </w:rPr>
        <w:t>Enforceability, Etc</w:t>
      </w:r>
      <w:r>
        <w:rPr>
          <w:rFonts w:ascii="Arial" w:cs="Arial" w:eastAsia="Arial" w:hAnsi="Arial"/>
          <w:sz w:val="17"/>
          <w:szCs w:val="17"/>
          <w:color w:val="auto"/>
        </w:rPr>
        <w:t>. This Agreement shall be interpreted in such a manner as to be effective and valid under applicable law, but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spacing w:after="0" w:line="167" w:lineRule="exact"/>
        <w:rPr>
          <w:rFonts w:ascii="Arial" w:cs="Arial" w:eastAsia="Arial" w:hAnsi="Arial"/>
          <w:sz w:val="17"/>
          <w:szCs w:val="17"/>
          <w:b w:val="1"/>
          <w:bCs w:val="1"/>
          <w:color w:val="auto"/>
        </w:rPr>
      </w:pPr>
    </w:p>
    <w:p>
      <w:pPr>
        <w:ind w:left="700" w:hanging="264"/>
        <w:spacing w:after="0"/>
        <w:tabs>
          <w:tab w:leader="none" w:pos="70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and other communications given or made pursuant to this Agreement shall be in writing and shall be deemed effectively</w:t>
      </w:r>
    </w:p>
    <w:p>
      <w:pPr>
        <w:spacing w:after="0" w:line="50" w:lineRule="exact"/>
        <w:rPr>
          <w:rFonts w:ascii="Arial" w:cs="Arial" w:eastAsia="Arial" w:hAnsi="Arial"/>
          <w:sz w:val="16"/>
          <w:szCs w:val="16"/>
          <w:b w:val="1"/>
          <w:bCs w:val="1"/>
          <w:color w:val="auto"/>
        </w:rPr>
      </w:pPr>
    </w:p>
    <w:p>
      <w:pPr>
        <w:ind w:right="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given: (i) upon personal delivery to the party to be notified; (ii) when sent by confirmed facsimile if sent during normal business hours of the recipient, and if not so confirmed,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respective parties at their address as set forth below, or to such facsimile number or address as subsequently modified by written notice given in accordance with this Section 14.</w:t>
      </w:r>
    </w:p>
    <w:p>
      <w:pPr>
        <w:spacing w:after="0" w:line="190" w:lineRule="exact"/>
        <w:rPr>
          <w:rFonts w:ascii="Arial" w:cs="Arial" w:eastAsia="Arial" w:hAnsi="Arial"/>
          <w:sz w:val="16"/>
          <w:szCs w:val="16"/>
          <w:b w:val="1"/>
          <w:bCs w:val="1"/>
          <w:color w:val="auto"/>
        </w:rPr>
      </w:pPr>
    </w:p>
    <w:p>
      <w:pPr>
        <w:ind w:left="1240" w:hanging="253"/>
        <w:spacing w:after="0"/>
        <w:tabs>
          <w:tab w:leader="none" w:pos="12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to the Executive, to the most recent address reflected in the Company’s records.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to the Company, to the Company’s principal place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40" w:top="274" w:right="579" w:bottom="1440" w:gutter="0" w:footer="0" w:header="0"/>
        </w:sectPr>
      </w:pPr>
    </w:p>
    <w:bookmarkStart w:id="254" w:name="page255"/>
    <w:bookmarkEnd w:id="254"/>
    <w:p>
      <w:pPr>
        <w:ind w:right="160" w:firstLine="436"/>
        <w:spacing w:after="0" w:line="266" w:lineRule="auto"/>
        <w:tabs>
          <w:tab w:leader="none" w:pos="71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Arial" w:cs="Arial" w:eastAsia="Arial" w:hAnsi="Arial"/>
          <w:sz w:val="18"/>
          <w:szCs w:val="18"/>
          <w:color w:val="auto"/>
        </w:rPr>
        <w:t>. This Agreement shall be governed by and construed in accordance with the internal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without regard to its choice of law provisions, and any proceedings shall be commenced and maintained in any federal or state court of competent jurisdiction located in said Commonwealth.</w:t>
      </w:r>
    </w:p>
    <w:p>
      <w:pPr>
        <w:spacing w:after="0" w:line="175" w:lineRule="exact"/>
        <w:rPr>
          <w:rFonts w:ascii="Arial" w:cs="Arial" w:eastAsia="Arial" w:hAnsi="Arial"/>
          <w:sz w:val="18"/>
          <w:szCs w:val="18"/>
          <w:b w:val="1"/>
          <w:bCs w:val="1"/>
          <w:color w:val="auto"/>
        </w:rPr>
      </w:pPr>
    </w:p>
    <w:p>
      <w:pPr>
        <w:ind w:firstLine="436"/>
        <w:spacing w:after="0" w:line="277" w:lineRule="auto"/>
        <w:tabs>
          <w:tab w:leader="none" w:pos="71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EACH PARTY HERETO ACKNOWLEDGES AND AGREES THAT ANY CONTROVERSY WHICH MAY ARISE</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AND ANY OF THE AGREEMENTS DELIVERED IN CONNECTION HEREWITH OR THE TRANSACTIONS CONTEMPLATED HEREBY OR THEREBY.</w:t>
      </w:r>
    </w:p>
    <w:p>
      <w:pPr>
        <w:spacing w:after="0" w:line="167" w:lineRule="exact"/>
        <w:rPr>
          <w:rFonts w:ascii="Arial" w:cs="Arial" w:eastAsia="Arial" w:hAnsi="Arial"/>
          <w:sz w:val="17"/>
          <w:szCs w:val="17"/>
          <w:b w:val="1"/>
          <w:bCs w:val="1"/>
          <w:color w:val="auto"/>
        </w:rPr>
      </w:pPr>
    </w:p>
    <w:p>
      <w:pPr>
        <w:ind w:right="440" w:firstLine="436"/>
        <w:spacing w:after="0" w:line="314" w:lineRule="auto"/>
        <w:tabs>
          <w:tab w:leader="none" w:pos="710"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No Mitigation; No Set Off</w:t>
      </w:r>
      <w:r>
        <w:rPr>
          <w:rFonts w:ascii="Arial" w:cs="Arial" w:eastAsia="Arial" w:hAnsi="Arial"/>
          <w:sz w:val="16"/>
          <w:szCs w:val="16"/>
          <w:color w:val="auto"/>
        </w:rPr>
        <w:t>. In the event of termination without Cause or resignation for Good Reason, the Executive shall be under no</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seek other employment and there shall be no offset against any amount due to Executive under this Agreement on account of any subsequent renumeration received from any subsequent employer. No amounts payable hereunder shall not be subject to any setoff or recoupment.</w:t>
      </w:r>
    </w:p>
    <w:p>
      <w:pPr>
        <w:spacing w:after="0" w:line="141" w:lineRule="exact"/>
        <w:rPr>
          <w:rFonts w:ascii="Arial" w:cs="Arial" w:eastAsia="Arial" w:hAnsi="Arial"/>
          <w:sz w:val="16"/>
          <w:szCs w:val="16"/>
          <w:b w:val="1"/>
          <w:bCs w:val="1"/>
          <w:color w:val="auto"/>
        </w:rPr>
      </w:pPr>
    </w:p>
    <w:p>
      <w:pPr>
        <w:ind w:right="300" w:firstLine="436"/>
        <w:spacing w:after="0" w:line="298" w:lineRule="auto"/>
        <w:tabs>
          <w:tab w:leader="none" w:pos="710"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and Waivers</w:t>
      </w:r>
      <w:r>
        <w:rPr>
          <w:rFonts w:ascii="Arial" w:cs="Arial" w:eastAsia="Arial" w:hAnsi="Arial"/>
          <w:sz w:val="16"/>
          <w:szCs w:val="16"/>
          <w:color w:val="auto"/>
        </w:rPr>
        <w:t>. This Agreement may be amended or modified only by a written instrument signed by the Company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direction of the Management Board) and the Executive. No waiver of this Agreement or any provision hereof shall be binding upon the party against whom enforcement of such 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spacing w:after="0" w:line="153" w:lineRule="exact"/>
        <w:rPr>
          <w:rFonts w:ascii="Arial" w:cs="Arial" w:eastAsia="Arial" w:hAnsi="Arial"/>
          <w:sz w:val="16"/>
          <w:szCs w:val="16"/>
          <w:b w:val="1"/>
          <w:bCs w:val="1"/>
          <w:color w:val="auto"/>
        </w:rPr>
      </w:pPr>
    </w:p>
    <w:p>
      <w:pPr>
        <w:ind w:right="200" w:firstLine="436"/>
        <w:spacing w:after="0" w:line="261" w:lineRule="auto"/>
        <w:tabs>
          <w:tab w:leader="none" w:pos="71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Agreement shall be binding on and inure to the benefit of the parties hereto and their respective heirs, executors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and assigns, except that the rights and obligations of the Executive hereunder are personal and may not be assigned without the Company’s prior written consent. Any assignment of this Agreement by the Company shall not be considered a termination of the Executive’s employment.</w:t>
      </w:r>
    </w:p>
    <w:p>
      <w:pPr>
        <w:spacing w:after="0" w:line="179" w:lineRule="exact"/>
        <w:rPr>
          <w:rFonts w:ascii="Arial" w:cs="Arial" w:eastAsia="Arial" w:hAnsi="Arial"/>
          <w:sz w:val="18"/>
          <w:szCs w:val="18"/>
          <w:b w:val="1"/>
          <w:bCs w:val="1"/>
          <w:color w:val="auto"/>
        </w:rPr>
      </w:pPr>
    </w:p>
    <w:p>
      <w:pPr>
        <w:ind w:right="280" w:firstLine="436"/>
        <w:spacing w:after="0" w:line="312" w:lineRule="auto"/>
        <w:tabs>
          <w:tab w:leader="none" w:pos="71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constitutes the final and entire agreement of the parties with respect to the matters covered hereby and</w:t>
      </w:r>
      <w:r>
        <w:rPr>
          <w:rFonts w:ascii="Arial" w:cs="Arial" w:eastAsia="Arial" w:hAnsi="Arial"/>
          <w:sz w:val="17"/>
          <w:szCs w:val="17"/>
          <w:b w:val="1"/>
          <w:bCs w:val="1"/>
          <w:color w:val="auto"/>
        </w:rPr>
        <w:t xml:space="preserve"> </w:t>
      </w:r>
      <w:r>
        <w:rPr>
          <w:rFonts w:ascii="Arial" w:cs="Arial" w:eastAsia="Arial" w:hAnsi="Arial"/>
          <w:sz w:val="17"/>
          <w:szCs w:val="17"/>
          <w:color w:val="auto"/>
        </w:rPr>
        <w:t>replaces and supersedes all other agreements and understandings relating hereto and to the Executive’s employment.</w:t>
      </w:r>
    </w:p>
    <w:p>
      <w:pPr>
        <w:spacing w:after="0" w:line="139" w:lineRule="exact"/>
        <w:rPr>
          <w:rFonts w:ascii="Arial" w:cs="Arial" w:eastAsia="Arial" w:hAnsi="Arial"/>
          <w:sz w:val="17"/>
          <w:szCs w:val="17"/>
          <w:b w:val="1"/>
          <w:bCs w:val="1"/>
          <w:color w:val="auto"/>
        </w:rPr>
      </w:pPr>
    </w:p>
    <w:p>
      <w:pPr>
        <w:ind w:right="20" w:firstLine="436"/>
        <w:spacing w:after="0" w:line="261" w:lineRule="auto"/>
        <w:tabs>
          <w:tab w:leader="none" w:pos="71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any number of counterparts, all of which together shall for all purposes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Counterpart signature pages to this Agreement transmitted by facsimile transmission, by electronic mail in “portable document format” or “.pdf’ form, or by any other electronic means intended to preserve the original graphic and pictorial appearance of a document, will have the same effect as physical delivery of the paper document bearing an original signature.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55" w:name="page256"/>
    <w:bookmarkEnd w:id="255"/>
    <w:p>
      <w:pPr>
        <w:ind w:right="80" w:firstLine="436"/>
        <w:spacing w:after="0" w:line="266" w:lineRule="auto"/>
        <w:tabs>
          <w:tab w:leader="none" w:pos="71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Conflicting Agreements</w:t>
      </w:r>
      <w:r>
        <w:rPr>
          <w:rFonts w:ascii="Arial" w:cs="Arial" w:eastAsia="Arial" w:hAnsi="Arial"/>
          <w:sz w:val="18"/>
          <w:szCs w:val="18"/>
          <w:color w:val="auto"/>
        </w:rPr>
        <w:t>. The Executive represents and warrants to the Company that the Executive is not a party to or bound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noncompetition, nonsolicitation, employment, consulting or other agreement or restriction which could conflict with, or be violated by, the performance of the Executive’s duties to the Company or obligations under this Agreement.</w:t>
      </w:r>
    </w:p>
    <w:p>
      <w:pPr>
        <w:spacing w:after="0" w:line="175" w:lineRule="exact"/>
        <w:rPr>
          <w:rFonts w:ascii="Arial" w:cs="Arial" w:eastAsia="Arial" w:hAnsi="Arial"/>
          <w:sz w:val="18"/>
          <w:szCs w:val="18"/>
          <w:b w:val="1"/>
          <w:bCs w:val="1"/>
          <w:color w:val="auto"/>
        </w:rPr>
      </w:pPr>
    </w:p>
    <w:p>
      <w:pPr>
        <w:ind w:firstLine="436"/>
        <w:spacing w:after="0" w:line="282" w:lineRule="auto"/>
        <w:tabs>
          <w:tab w:leader="none" w:pos="71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Captions</w:t>
      </w:r>
      <w:r>
        <w:rPr>
          <w:rFonts w:ascii="Arial" w:cs="Arial" w:eastAsia="Arial" w:hAnsi="Arial"/>
          <w:sz w:val="18"/>
          <w:szCs w:val="18"/>
          <w:color w:val="auto"/>
        </w:rPr>
        <w:t>. The captions of the sections of this Agreement are for convenience of reference only and in no way define, limit or affect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or substance of any section of this Agreement</w:t>
      </w:r>
    </w:p>
    <w:p>
      <w:pPr>
        <w:spacing w:after="0" w:line="161" w:lineRule="exact"/>
        <w:rPr>
          <w:rFonts w:ascii="Arial" w:cs="Arial" w:eastAsia="Arial" w:hAnsi="Arial"/>
          <w:sz w:val="18"/>
          <w:szCs w:val="18"/>
          <w:b w:val="1"/>
          <w:bCs w:val="1"/>
          <w:color w:val="auto"/>
        </w:rPr>
      </w:pPr>
    </w:p>
    <w:p>
      <w:pPr>
        <w:ind w:right="20" w:firstLine="436"/>
        <w:spacing w:after="0" w:line="261" w:lineRule="auto"/>
        <w:tabs>
          <w:tab w:leader="none" w:pos="71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No Strict Construction</w:t>
      </w:r>
      <w:r>
        <w:rPr>
          <w:rFonts w:ascii="Arial" w:cs="Arial" w:eastAsia="Arial" w:hAnsi="Arial"/>
          <w:sz w:val="18"/>
          <w:szCs w:val="18"/>
          <w:color w:val="auto"/>
        </w:rPr>
        <w:t>. The parties hereto have participated jointly in the negotiation and drafting of this Agreement. In the event an</w:t>
      </w:r>
      <w:r>
        <w:rPr>
          <w:rFonts w:ascii="Arial" w:cs="Arial" w:eastAsia="Arial" w:hAnsi="Arial"/>
          <w:sz w:val="18"/>
          <w:szCs w:val="18"/>
          <w:b w:val="1"/>
          <w:bCs w:val="1"/>
          <w:color w:val="auto"/>
        </w:rPr>
        <w:t xml:space="preserve"> </w:t>
      </w:r>
      <w:r>
        <w:rPr>
          <w:rFonts w:ascii="Arial" w:cs="Arial" w:eastAsia="Arial" w:hAnsi="Arial"/>
          <w:sz w:val="18"/>
          <w:szCs w:val="18"/>
          <w:color w:val="auto"/>
        </w:rPr>
        <w:t>ambiguity or question of intent or 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spacing w:after="0" w:line="183" w:lineRule="exact"/>
        <w:rPr>
          <w:rFonts w:ascii="Arial" w:cs="Arial" w:eastAsia="Arial" w:hAnsi="Arial"/>
          <w:sz w:val="18"/>
          <w:szCs w:val="18"/>
          <w:b w:val="1"/>
          <w:bCs w:val="1"/>
          <w:color w:val="auto"/>
        </w:rPr>
      </w:pPr>
    </w:p>
    <w:p>
      <w:pPr>
        <w:ind w:left="700" w:hanging="264"/>
        <w:spacing w:after="0"/>
        <w:tabs>
          <w:tab w:leader="none" w:pos="700" w:val="left"/>
        </w:tabs>
        <w:numPr>
          <w:ilvl w:val="0"/>
          <w:numId w:val="210"/>
        </w:numPr>
        <w:rPr>
          <w:rFonts w:ascii="Arial" w:cs="Arial" w:eastAsia="Arial" w:hAnsi="Arial"/>
          <w:sz w:val="17"/>
          <w:szCs w:val="17"/>
          <w:b w:val="1"/>
          <w:bCs w:val="1"/>
          <w:color w:val="auto"/>
        </w:rPr>
      </w:pPr>
      <w:r>
        <w:rPr>
          <w:rFonts w:ascii="Arial" w:cs="Arial" w:eastAsia="Arial" w:hAnsi="Arial"/>
          <w:sz w:val="17"/>
          <w:szCs w:val="17"/>
          <w:color w:val="auto"/>
        </w:rPr>
        <w:t>The Company shall pay the legal fees incurred by the Executive in considering the Company’s offer of employment to a maximum cap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 $3,000.</w:t>
      </w:r>
    </w:p>
    <w:p>
      <w:pPr>
        <w:spacing w:after="0" w:line="207" w:lineRule="exact"/>
        <w:rPr>
          <w:sz w:val="20"/>
          <w:szCs w:val="20"/>
          <w:color w:val="auto"/>
        </w:rPr>
      </w:pPr>
    </w:p>
    <w:p>
      <w:pPr>
        <w:ind w:right="640" w:firstLine="436"/>
        <w:spacing w:after="0" w:line="266" w:lineRule="auto"/>
        <w:tabs>
          <w:tab w:leader="none" w:pos="71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 of New Employer</w:t>
      </w:r>
      <w:r>
        <w:rPr>
          <w:rFonts w:ascii="Arial" w:cs="Arial" w:eastAsia="Arial" w:hAnsi="Arial"/>
          <w:sz w:val="18"/>
          <w:szCs w:val="18"/>
          <w:color w:val="auto"/>
        </w:rPr>
        <w:t>. In the event that the Executive is no longer an Executive of the Company, the Executive consents to</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by the Company to the Executive’s new employer or its agents regarding the Executive’s obligations under Sections 5 and 6 of this Agreement.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0" w:right="539" w:bottom="1440" w:gutter="0" w:footer="0" w:header="0"/>
        </w:sectPr>
      </w:pPr>
    </w:p>
    <w:bookmarkStart w:id="256" w:name="page257"/>
    <w:bookmarkEnd w:id="2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executed and delivered as a sealed instrument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DEFINITIVE HEALTHCARE,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Jason Krantz</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Richard Booth</w:t>
      </w:r>
    </w:p>
    <w:p>
      <w:pPr>
        <w:sectPr>
          <w:pgSz w:w="11900" w:h="16838" w:orient="portrait"/>
          <w:cols w:equalWidth="0" w:num="1">
            <w:col w:w="9579"/>
          </w:cols>
          <w:pgMar w:left="880" w:top="274"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640" w:firstLine="440"/>
        <w:spacing w:after="0" w:line="312" w:lineRule="auto"/>
        <w:rPr>
          <w:sz w:val="20"/>
          <w:szCs w:val="20"/>
          <w:color w:val="auto"/>
        </w:rPr>
      </w:pPr>
      <w:r>
        <w:rPr>
          <w:rFonts w:ascii="Arial" w:cs="Arial" w:eastAsia="Arial" w:hAnsi="Arial"/>
          <w:sz w:val="17"/>
          <w:szCs w:val="17"/>
          <w:color w:val="auto"/>
        </w:rPr>
        <w:t>This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dated as of February 1, 2021 (“</w:t>
      </w:r>
      <w:r>
        <w:rPr>
          <w:rFonts w:ascii="Arial" w:cs="Arial" w:eastAsia="Arial" w:hAnsi="Arial"/>
          <w:sz w:val="17"/>
          <w:szCs w:val="17"/>
          <w:b w:val="1"/>
          <w:bCs w:val="1"/>
          <w:color w:val="auto"/>
        </w:rPr>
        <w:t>Effective Date</w:t>
      </w:r>
      <w:r>
        <w:rPr>
          <w:rFonts w:ascii="Arial" w:cs="Arial" w:eastAsia="Arial" w:hAnsi="Arial"/>
          <w:sz w:val="17"/>
          <w:szCs w:val="17"/>
          <w:color w:val="auto"/>
        </w:rPr>
        <w:t>”), is made and entered into by and between Definitive Healthcare, LLC, a Massachusetts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and David Samuels (the “</w:t>
      </w:r>
      <w:r>
        <w:rPr>
          <w:rFonts w:ascii="Arial" w:cs="Arial" w:eastAsia="Arial" w:hAnsi="Arial"/>
          <w:sz w:val="17"/>
          <w:szCs w:val="17"/>
          <w:b w:val="1"/>
          <w:bCs w:val="1"/>
          <w:color w:val="auto"/>
        </w:rPr>
        <w:t>Executive</w:t>
      </w:r>
      <w:r>
        <w:rPr>
          <w:rFonts w:ascii="Arial" w:cs="Arial" w:eastAsia="Arial" w:hAnsi="Arial"/>
          <w:sz w:val="17"/>
          <w:szCs w:val="17"/>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desires to retain the services of the Executive pursuant to the terms and conditions set forth herein and the Executive wishes to be employed by the Company on such terms and conditions. The Executive will be a key Executive of the Company, with significant access to information concerning the Company and its business. The disclosure or misuse of such information or the engaging in competitive activities would cause substantial harm to the Company.</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agree as follows:</w:t>
      </w:r>
    </w:p>
    <w:p>
      <w:pPr>
        <w:spacing w:after="0" w:line="166" w:lineRule="exact"/>
        <w:rPr>
          <w:sz w:val="20"/>
          <w:szCs w:val="20"/>
          <w:color w:val="auto"/>
        </w:rPr>
      </w:pPr>
    </w:p>
    <w:p>
      <w:pPr>
        <w:ind w:right="240" w:firstLine="436"/>
        <w:spacing w:after="0" w:line="266" w:lineRule="auto"/>
        <w:tabs>
          <w:tab w:leader="none" w:pos="62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Term. Effective Date; Term</w:t>
      </w:r>
      <w:r>
        <w:rPr>
          <w:rFonts w:ascii="Arial" w:cs="Arial" w:eastAsia="Arial" w:hAnsi="Arial"/>
          <w:sz w:val="18"/>
          <w:szCs w:val="18"/>
          <w:color w:val="auto"/>
        </w:rPr>
        <w:t>. This Agreement shall become effective as of the Effective Date. The Company shall employ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until the Executive’s employment with the Company is terminated pursuant to Section 10. The Executive shall be employed on an “at will” basis. The Executive’s start date with the Company shall be February 1, 2021.</w:t>
      </w:r>
    </w:p>
    <w:p>
      <w:pPr>
        <w:spacing w:after="0" w:line="175" w:lineRule="exact"/>
        <w:rPr>
          <w:rFonts w:ascii="Arial" w:cs="Arial" w:eastAsia="Arial" w:hAnsi="Arial"/>
          <w:sz w:val="18"/>
          <w:szCs w:val="18"/>
          <w:b w:val="1"/>
          <w:bCs w:val="1"/>
          <w:color w:val="auto"/>
        </w:rPr>
      </w:pPr>
    </w:p>
    <w:p>
      <w:pPr>
        <w:ind w:right="160" w:firstLine="436"/>
        <w:spacing w:after="0" w:line="282" w:lineRule="auto"/>
        <w:tabs>
          <w:tab w:leader="none" w:pos="62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r>
        <w:rPr>
          <w:rFonts w:ascii="Arial" w:cs="Arial" w:eastAsia="Arial" w:hAnsi="Arial"/>
          <w:sz w:val="18"/>
          <w:szCs w:val="18"/>
          <w:color w:val="auto"/>
        </w:rPr>
        <w:t>. The Executive will serve as the Chief Legal Officer of the Company and shall have such duties of an executive nature,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such position. The Executive will report to the Chief Executive Officer.</w:t>
      </w:r>
    </w:p>
    <w:p>
      <w:pPr>
        <w:spacing w:after="0" w:line="161" w:lineRule="exact"/>
        <w:rPr>
          <w:rFonts w:ascii="Arial" w:cs="Arial" w:eastAsia="Arial" w:hAnsi="Arial"/>
          <w:sz w:val="18"/>
          <w:szCs w:val="18"/>
          <w:b w:val="1"/>
          <w:bCs w:val="1"/>
          <w:color w:val="auto"/>
        </w:rPr>
      </w:pPr>
    </w:p>
    <w:p>
      <w:pPr>
        <w:ind w:left="620" w:hanging="184"/>
        <w:spacing w:after="0"/>
        <w:tabs>
          <w:tab w:leader="none" w:pos="62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Full Time; Best Efforts</w:t>
      </w:r>
      <w:r>
        <w:rPr>
          <w:rFonts w:ascii="Arial" w:cs="Arial" w:eastAsia="Arial" w:hAnsi="Arial"/>
          <w:sz w:val="18"/>
          <w:szCs w:val="18"/>
          <w:color w:val="auto"/>
        </w:rPr>
        <w:t>.</w:t>
      </w:r>
    </w:p>
    <w:p>
      <w:pPr>
        <w:spacing w:after="0" w:line="22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Executive shall use the Executive’s best efforts to promote the interests of the Company and shall devote the Executive’s full business time and efforts to its business and affairs. The Executive shall not engage in any other activity that could reasonably be expected to reasonably interfere with the performance of the Executive’s duties, services and responsibilities hereunder .</w:t>
      </w:r>
    </w:p>
    <w:p>
      <w:pPr>
        <w:spacing w:after="0" w:line="180" w:lineRule="exact"/>
        <w:rPr>
          <w:sz w:val="20"/>
          <w:szCs w:val="20"/>
          <w:color w:val="auto"/>
        </w:rPr>
      </w:pPr>
    </w:p>
    <w:p>
      <w:pPr>
        <w:ind w:left="620" w:hanging="184"/>
        <w:spacing w:after="0"/>
        <w:tabs>
          <w:tab w:leader="none" w:pos="62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 During the Term, the Executive shall be entitled to compensation and benefits as follows:</w:t>
      </w:r>
    </w:p>
    <w:p>
      <w:pPr>
        <w:spacing w:after="0" w:line="225" w:lineRule="exact"/>
        <w:rPr>
          <w:rFonts w:ascii="Arial" w:cs="Arial" w:eastAsia="Arial" w:hAnsi="Arial"/>
          <w:sz w:val="18"/>
          <w:szCs w:val="18"/>
          <w:b w:val="1"/>
          <w:bCs w:val="1"/>
          <w:color w:val="auto"/>
        </w:rPr>
      </w:pPr>
    </w:p>
    <w:p>
      <w:pPr>
        <w:jc w:val="both"/>
        <w:ind w:right="80" w:firstLine="987"/>
        <w:spacing w:after="0" w:line="314" w:lineRule="auto"/>
        <w:tabs>
          <w:tab w:leader="none" w:pos="1236" w:val="left"/>
        </w:tabs>
        <w:numPr>
          <w:ilvl w:val="1"/>
          <w:numId w:val="213"/>
        </w:numPr>
        <w:rPr>
          <w:rFonts w:ascii="Arial" w:cs="Arial" w:eastAsia="Arial" w:hAnsi="Arial"/>
          <w:sz w:val="16"/>
          <w:szCs w:val="16"/>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The Executive will receive a salary at the rate of $350,000 annually (the “</w:t>
      </w:r>
      <w:r>
        <w:rPr>
          <w:rFonts w:ascii="Arial" w:cs="Arial" w:eastAsia="Arial" w:hAnsi="Arial"/>
          <w:sz w:val="16"/>
          <w:szCs w:val="16"/>
          <w:b w:val="1"/>
          <w:bCs w:val="1"/>
          <w:color w:val="auto"/>
        </w:rPr>
        <w:t>Base Salary</w:t>
      </w:r>
      <w:r>
        <w:rPr>
          <w:rFonts w:ascii="Arial" w:cs="Arial" w:eastAsia="Arial" w:hAnsi="Arial"/>
          <w:sz w:val="16"/>
          <w:szCs w:val="16"/>
          <w:color w:val="auto"/>
        </w:rPr>
        <w:t>”), payable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standard payroll practices. The Compensation Committee of the Management Board (the “</w:t>
      </w:r>
      <w:r>
        <w:rPr>
          <w:rFonts w:ascii="Arial" w:cs="Arial" w:eastAsia="Arial" w:hAnsi="Arial"/>
          <w:sz w:val="16"/>
          <w:szCs w:val="16"/>
          <w:b w:val="1"/>
          <w:bCs w:val="1"/>
          <w:color w:val="auto"/>
        </w:rPr>
        <w:t>Board</w:t>
      </w:r>
      <w:r>
        <w:rPr>
          <w:rFonts w:ascii="Arial" w:cs="Arial" w:eastAsia="Arial" w:hAnsi="Arial"/>
          <w:sz w:val="16"/>
          <w:szCs w:val="16"/>
          <w:color w:val="auto"/>
        </w:rPr>
        <w:t>”) of Definitive Healthcare Holdings, LLC (“</w:t>
      </w:r>
      <w:r>
        <w:rPr>
          <w:rFonts w:ascii="Arial" w:cs="Arial" w:eastAsia="Arial" w:hAnsi="Arial"/>
          <w:sz w:val="16"/>
          <w:szCs w:val="16"/>
          <w:b w:val="1"/>
          <w:bCs w:val="1"/>
          <w:color w:val="auto"/>
        </w:rPr>
        <w:t>Parent</w:t>
      </w:r>
      <w:r>
        <w:rPr>
          <w:rFonts w:ascii="Arial" w:cs="Arial" w:eastAsia="Arial" w:hAnsi="Arial"/>
          <w:sz w:val="16"/>
          <w:szCs w:val="16"/>
          <w:color w:val="auto"/>
        </w:rPr>
        <w:t>”) shall determine, on an annual basis and in its sole good faith discretion, whether to increase the Executive’s Base Salary.</w:t>
      </w:r>
    </w:p>
    <w:p>
      <w:pPr>
        <w:spacing w:after="0" w:line="141" w:lineRule="exact"/>
        <w:rPr>
          <w:rFonts w:ascii="Arial" w:cs="Arial" w:eastAsia="Arial" w:hAnsi="Arial"/>
          <w:sz w:val="16"/>
          <w:szCs w:val="16"/>
          <w:color w:val="auto"/>
        </w:rPr>
      </w:pPr>
    </w:p>
    <w:p>
      <w:pPr>
        <w:ind w:right="60" w:firstLine="987"/>
        <w:spacing w:after="0" w:line="312" w:lineRule="auto"/>
        <w:tabs>
          <w:tab w:leader="none" w:pos="1246" w:val="left"/>
        </w:tabs>
        <w:numPr>
          <w:ilvl w:val="1"/>
          <w:numId w:val="213"/>
        </w:numPr>
        <w:rPr>
          <w:rFonts w:ascii="Arial" w:cs="Arial" w:eastAsia="Arial" w:hAnsi="Arial"/>
          <w:sz w:val="17"/>
          <w:szCs w:val="17"/>
          <w:color w:val="auto"/>
        </w:rPr>
      </w:pPr>
      <w:r>
        <w:rPr>
          <w:rFonts w:ascii="Arial" w:cs="Arial" w:eastAsia="Arial" w:hAnsi="Arial"/>
          <w:sz w:val="17"/>
          <w:szCs w:val="17"/>
          <w:b w:val="1"/>
          <w:bCs w:val="1"/>
          <w:color w:val="auto"/>
        </w:rPr>
        <w:t>Bonus</w:t>
      </w:r>
      <w:r>
        <w:rPr>
          <w:rFonts w:ascii="Arial" w:cs="Arial" w:eastAsia="Arial" w:hAnsi="Arial"/>
          <w:sz w:val="17"/>
          <w:szCs w:val="17"/>
          <w:color w:val="auto"/>
        </w:rPr>
        <w:t>. The Executive shall be eligible to receive an annual cash bonus (“</w:t>
      </w:r>
      <w:r>
        <w:rPr>
          <w:rFonts w:ascii="Arial" w:cs="Arial" w:eastAsia="Arial" w:hAnsi="Arial"/>
          <w:sz w:val="17"/>
          <w:szCs w:val="17"/>
          <w:b w:val="1"/>
          <w:bCs w:val="1"/>
          <w:color w:val="auto"/>
        </w:rPr>
        <w:t>Bonus</w:t>
      </w:r>
      <w:r>
        <w:rPr>
          <w:rFonts w:ascii="Arial" w:cs="Arial" w:eastAsia="Arial" w:hAnsi="Arial"/>
          <w:sz w:val="17"/>
          <w:szCs w:val="17"/>
          <w:color w:val="auto"/>
        </w:rPr>
        <w:t>”), based on the Company achieving specified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targets and other requirements which will be determined reasonably and in good faith on an annual basis for the corresponding</w:t>
      </w:r>
    </w:p>
    <w:p>
      <w:pPr>
        <w:sectPr>
          <w:pgSz w:w="11900" w:h="16838" w:orient="portrait"/>
          <w:cols w:equalWidth="0" w:num="1">
            <w:col w:w="11020"/>
          </w:cols>
          <w:pgMar w:left="440" w:top="121" w:right="439" w:bottom="1440" w:gutter="0" w:footer="0" w:header="0"/>
        </w:sectPr>
      </w:pPr>
    </w:p>
    <w:bookmarkStart w:id="258" w:name="page259"/>
    <w:bookmarkEnd w:id="25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year by the CEO and the Compensation Committee of the Board of Directors. For 2021, you will be eligible for an annual bonus of up to 65% of your Base Salary, broken into three levels based on the company achieving one of three annual company targets as follows: (i) 50% of Base Salary for the Base achievement, (ii) 57.5% for the Target achievement, or (iii) 65% for the Stretch achievement, depending on which target is met, if any. The annual Bonus thresholds are paid out to the extent the Company targets meet or exceed the given thresholds, are not cumulative and are prorated to reflect the number of days during the year that the Executive was actually employed at the Company. Company targets shall be based on metrics established in the manner similar to which the Company has calculated Company metrics previously. The metrics tiers shall be determined by the Board at the start of the year and incorporated into the Company’s financial plan for 2021. The Executive must be actively employed by the Company through and including the date on which the Bonus, if any, is paid to be eligible to receive it All bonus amounts as of theend of a calendar year shall be paid no later than March 15 of the following calendar year.</w:t>
      </w:r>
    </w:p>
    <w:p>
      <w:pPr>
        <w:spacing w:after="0" w:line="177" w:lineRule="exact"/>
        <w:rPr>
          <w:sz w:val="20"/>
          <w:szCs w:val="20"/>
          <w:color w:val="auto"/>
        </w:rPr>
      </w:pPr>
    </w:p>
    <w:p>
      <w:pPr>
        <w:ind w:right="80" w:firstLine="987"/>
        <w:spacing w:after="0" w:line="254" w:lineRule="auto"/>
        <w:tabs>
          <w:tab w:leader="none" w:pos="1236"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Shares</w:t>
      </w:r>
      <w:r>
        <w:rPr>
          <w:rFonts w:ascii="Arial" w:cs="Arial" w:eastAsia="Arial" w:hAnsi="Arial"/>
          <w:sz w:val="18"/>
          <w:szCs w:val="18"/>
          <w:color w:val="auto"/>
        </w:rPr>
        <w:t>. The CEO agrees to make recommendation to the Board that the Executive receive management incentive units in Parent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MIUs</w:t>
      </w:r>
      <w:r>
        <w:rPr>
          <w:rFonts w:ascii="Arial" w:cs="Arial" w:eastAsia="Arial" w:hAnsi="Arial"/>
          <w:sz w:val="18"/>
          <w:szCs w:val="18"/>
          <w:color w:val="auto"/>
        </w:rPr>
        <w:t>”) equal to 375,000 shares. The distribution threshold shall be determined based on the company’s value pursuant to its 409(a)valuation performed in conjunction with its 2020 financial audit. The Mills will vest pursuant to the terms of the applicable grant agreement. For this initial grant, 50% of the MIUs are time-based vesting, with 25% of the time based MIUs vesting on the one-year anniversary of the grant followed by quarterly vesting of 6.25% until fully vested, over 4 years. The remaining 50% will vest based on the return to the Advent shareholders with thresholds at 2.0x, 2.5x and 3.0x return (for full vesting) Any Advent return in between the thresholds shall be pro-rated on a linear basis. If the Company conducts an Initial Public Offering, the performance-based MIUs shall revert to time vested and vest annually in equal installments over three years from the date of the Initial Public Offering.</w:t>
      </w:r>
    </w:p>
    <w:p>
      <w:pPr>
        <w:spacing w:after="0" w:line="191" w:lineRule="exact"/>
        <w:rPr>
          <w:rFonts w:ascii="Arial" w:cs="Arial" w:eastAsia="Arial" w:hAnsi="Arial"/>
          <w:sz w:val="18"/>
          <w:szCs w:val="18"/>
          <w:color w:val="auto"/>
        </w:rPr>
      </w:pPr>
    </w:p>
    <w:p>
      <w:pPr>
        <w:ind w:right="120" w:firstLine="987"/>
        <w:spacing w:after="0" w:line="314" w:lineRule="auto"/>
        <w:tabs>
          <w:tab w:leader="none" w:pos="1246"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Benefits</w:t>
      </w:r>
      <w:r>
        <w:rPr>
          <w:rFonts w:ascii="Arial" w:cs="Arial" w:eastAsia="Arial" w:hAnsi="Arial"/>
          <w:sz w:val="16"/>
          <w:szCs w:val="16"/>
          <w:color w:val="auto"/>
        </w:rPr>
        <w:t>. In addition to the Base Salary and the Bonus (if any), the Executive shall be entitled to participate in Company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generally available to the Company’s executive employees in accordance with and subject to the then existing terms and conditions of such plans. If the Executive chooses to participate in the company health plan, the Company will reimburse 75% of the costs of the premiums of the policy</w:t>
      </w:r>
    </w:p>
    <w:p>
      <w:pPr>
        <w:spacing w:after="0" w:line="141" w:lineRule="exact"/>
        <w:rPr>
          <w:rFonts w:ascii="Arial" w:cs="Arial" w:eastAsia="Arial" w:hAnsi="Arial"/>
          <w:sz w:val="16"/>
          <w:szCs w:val="16"/>
          <w:color w:val="auto"/>
        </w:rPr>
      </w:pPr>
    </w:p>
    <w:p>
      <w:pPr>
        <w:ind w:right="300" w:firstLine="987"/>
        <w:spacing w:after="0" w:line="282" w:lineRule="auto"/>
        <w:tabs>
          <w:tab w:leader="none" w:pos="1236"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Paid Time Off</w:t>
      </w:r>
      <w:r>
        <w:rPr>
          <w:rFonts w:ascii="Arial" w:cs="Arial" w:eastAsia="Arial" w:hAnsi="Arial"/>
          <w:sz w:val="18"/>
          <w:szCs w:val="18"/>
          <w:color w:val="auto"/>
        </w:rPr>
        <w:t>. The Executive shall be entitled to five (5) weeks of paid time off (PTO) per year, excluding Company holidays. No</w:t>
      </w:r>
      <w:r>
        <w:rPr>
          <w:rFonts w:ascii="Arial" w:cs="Arial" w:eastAsia="Arial" w:hAnsi="Arial"/>
          <w:sz w:val="18"/>
          <w:szCs w:val="18"/>
          <w:b w:val="1"/>
          <w:bCs w:val="1"/>
          <w:color w:val="auto"/>
        </w:rPr>
        <w:t xml:space="preserve"> </w:t>
      </w:r>
      <w:r>
        <w:rPr>
          <w:rFonts w:ascii="Arial" w:cs="Arial" w:eastAsia="Arial" w:hAnsi="Arial"/>
          <w:sz w:val="18"/>
          <w:szCs w:val="18"/>
          <w:color w:val="auto"/>
        </w:rPr>
        <w:t>paid time off will be carried over across calendar years.</w:t>
      </w:r>
    </w:p>
    <w:p>
      <w:pPr>
        <w:spacing w:after="0" w:line="161" w:lineRule="exact"/>
        <w:rPr>
          <w:rFonts w:ascii="Arial" w:cs="Arial" w:eastAsia="Arial" w:hAnsi="Arial"/>
          <w:sz w:val="18"/>
          <w:szCs w:val="18"/>
          <w:color w:val="auto"/>
        </w:rPr>
      </w:pPr>
    </w:p>
    <w:p>
      <w:pPr>
        <w:ind w:right="60" w:firstLine="987"/>
        <w:spacing w:after="0" w:line="271" w:lineRule="auto"/>
        <w:tabs>
          <w:tab w:leader="none" w:pos="1216" w:val="left"/>
        </w:tabs>
        <w:numPr>
          <w:ilvl w:val="0"/>
          <w:numId w:val="214"/>
        </w:numPr>
        <w:rPr>
          <w:rFonts w:ascii="Arial" w:cs="Arial" w:eastAsia="Arial" w:hAnsi="Arial"/>
          <w:sz w:val="17"/>
          <w:szCs w:val="17"/>
          <w:color w:val="auto"/>
        </w:rPr>
      </w:pPr>
      <w:r>
        <w:rPr>
          <w:rFonts w:ascii="Arial" w:cs="Arial" w:eastAsia="Arial" w:hAnsi="Arial"/>
          <w:sz w:val="17"/>
          <w:szCs w:val="17"/>
          <w:b w:val="1"/>
          <w:bCs w:val="1"/>
          <w:color w:val="auto"/>
        </w:rPr>
        <w:t>Reimbursement of Documented Business Expenses</w:t>
      </w:r>
      <w:r>
        <w:rPr>
          <w:rFonts w:ascii="Arial" w:cs="Arial" w:eastAsia="Arial" w:hAnsi="Arial"/>
          <w:sz w:val="17"/>
          <w:szCs w:val="17"/>
          <w:color w:val="auto"/>
        </w:rPr>
        <w:t>. The Executive will be entitled to reimbursement of all reasonable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in the ordinary course of business on behalf of the Company, subject to the presentation of appropriate documentation and approved by, or in accordance with the Company’s policies as approved by the Board. If any reimbursement provided by the Company pursuant to this Agreement would constitute deferred compensation for purposes of Section 409A of the Internal Revenue Code of 1986, as amended (together with the regulations and guidance thereunder, “</w:t>
      </w:r>
      <w:r>
        <w:rPr>
          <w:rFonts w:ascii="Arial" w:cs="Arial" w:eastAsia="Arial" w:hAnsi="Arial"/>
          <w:sz w:val="17"/>
          <w:szCs w:val="17"/>
          <w:b w:val="1"/>
          <w:bCs w:val="1"/>
          <w:color w:val="auto"/>
        </w:rPr>
        <w:t>Section 409A</w:t>
      </w:r>
      <w:r>
        <w:rPr>
          <w:rFonts w:ascii="Arial" w:cs="Arial" w:eastAsia="Arial" w:hAnsi="Arial"/>
          <w:sz w:val="17"/>
          <w:szCs w:val="17"/>
          <w:color w:val="auto"/>
        </w:rPr>
        <w:t>”), such reimbursement shall be subject to the following rules: (i) the amounts to be reimbursed shall be determined pursuant to the terms of the applicable benefit plan, policy or agreement; (ii) the amounts eligible for reimbursement during any calendar year may not affect the expenses eligible for reimbursement in any other calendar year; (iii) any reimbursement of an eligible expense shall be made on or before the last day of the calendar year following the calendar year in which the expense was incurred; and (iv) the Executive’s right to reimbursement is not subject to liquidation or exchange for cash or another benefit.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59" w:name="page260"/>
    <w:bookmarkEnd w:id="259"/>
    <w:p>
      <w:pPr>
        <w:ind w:right="680" w:firstLine="987"/>
        <w:spacing w:after="0" w:line="282" w:lineRule="auto"/>
        <w:tabs>
          <w:tab w:leader="none" w:pos="1246" w:val="left"/>
        </w:tabs>
        <w:numPr>
          <w:ilvl w:val="1"/>
          <w:numId w:val="21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w:t>
      </w:r>
      <w:r>
        <w:rPr>
          <w:rFonts w:ascii="Arial" w:cs="Arial" w:eastAsia="Arial" w:hAnsi="Arial"/>
          <w:sz w:val="18"/>
          <w:szCs w:val="18"/>
          <w:color w:val="auto"/>
        </w:rPr>
        <w:t>. The Company shall withhold from compensation payable to the Executive all applicable federal, state and local</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taxes required to be withheld by the Company under applicable law</w:t>
      </w:r>
    </w:p>
    <w:p>
      <w:pPr>
        <w:spacing w:after="0" w:line="161" w:lineRule="exact"/>
        <w:rPr>
          <w:rFonts w:ascii="Arial" w:cs="Arial" w:eastAsia="Arial" w:hAnsi="Arial"/>
          <w:sz w:val="18"/>
          <w:szCs w:val="18"/>
          <w:color w:val="auto"/>
        </w:rPr>
      </w:pPr>
    </w:p>
    <w:p>
      <w:pPr>
        <w:ind w:firstLine="987"/>
        <w:spacing w:after="0" w:line="294" w:lineRule="auto"/>
        <w:tabs>
          <w:tab w:leader="none" w:pos="1246" w:val="left"/>
        </w:tabs>
        <w:numPr>
          <w:ilvl w:val="1"/>
          <w:numId w:val="215"/>
        </w:numPr>
        <w:rPr>
          <w:rFonts w:ascii="Arial" w:cs="Arial" w:eastAsia="Arial" w:hAnsi="Arial"/>
          <w:sz w:val="16"/>
          <w:szCs w:val="16"/>
          <w:color w:val="auto"/>
        </w:rPr>
      </w:pPr>
      <w:r>
        <w:rPr>
          <w:rFonts w:ascii="Arial" w:cs="Arial" w:eastAsia="Arial" w:hAnsi="Arial"/>
          <w:sz w:val="16"/>
          <w:szCs w:val="16"/>
          <w:b w:val="1"/>
          <w:bCs w:val="1"/>
          <w:color w:val="auto"/>
        </w:rPr>
        <w:t>Indemnification and D&amp;O Insurance</w:t>
      </w:r>
      <w:r>
        <w:rPr>
          <w:rFonts w:ascii="Arial" w:cs="Arial" w:eastAsia="Arial" w:hAnsi="Arial"/>
          <w:sz w:val="16"/>
          <w:szCs w:val="16"/>
          <w:color w:val="auto"/>
        </w:rPr>
        <w:t>. The Company shall, to the fullest extent permitted by law, as such may be amended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indemnify, defend, and hold harmless the Executive in accordance with, and subject to the terms and conditions of, Article XII (Indemnification) of the AIDH Amended and Restated Limited Liability Company Agreement, dated as of July 16, 2019 and, furthermore, the Company agrees to advance or reimburse as incurred all attorneys’ fees and costs and any amounts expended in the course of defending the Executive. The Company further agrees that this Indemnification provision may only be modified by mutual consent. The Company will maintain a directors and officers liability policy covering Executive with coverage comparable or equal to that provided to other senior executives and Directors of the Company.</w:t>
      </w:r>
    </w:p>
    <w:p>
      <w:pPr>
        <w:spacing w:after="0" w:line="159" w:lineRule="exact"/>
        <w:rPr>
          <w:rFonts w:ascii="Arial" w:cs="Arial" w:eastAsia="Arial" w:hAnsi="Arial"/>
          <w:sz w:val="16"/>
          <w:szCs w:val="16"/>
          <w:color w:val="auto"/>
        </w:rPr>
      </w:pPr>
    </w:p>
    <w:p>
      <w:pPr>
        <w:ind w:right="160" w:firstLine="436"/>
        <w:spacing w:after="0" w:line="282" w:lineRule="auto"/>
        <w:tabs>
          <w:tab w:leader="none" w:pos="62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Intellectual Property</w:t>
      </w:r>
      <w:r>
        <w:rPr>
          <w:rFonts w:ascii="Arial" w:cs="Arial" w:eastAsia="Arial" w:hAnsi="Arial"/>
          <w:sz w:val="18"/>
          <w:szCs w:val="18"/>
          <w:color w:val="auto"/>
        </w:rPr>
        <w:t>. The Executive agrees that during the Executive’s employment or other business relationship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whether or not under this Agreement, and at all times thereafter:</w:t>
      </w:r>
    </w:p>
    <w:p>
      <w:pPr>
        <w:spacing w:after="0" w:line="165" w:lineRule="exact"/>
        <w:rPr>
          <w:rFonts w:ascii="Arial" w:cs="Arial" w:eastAsia="Arial" w:hAnsi="Arial"/>
          <w:sz w:val="18"/>
          <w:szCs w:val="18"/>
          <w:b w:val="1"/>
          <w:bCs w:val="1"/>
          <w:color w:val="auto"/>
        </w:rPr>
      </w:pPr>
    </w:p>
    <w:p>
      <w:pPr>
        <w:ind w:right="100" w:firstLine="987"/>
        <w:spacing w:after="0" w:line="270" w:lineRule="auto"/>
        <w:tabs>
          <w:tab w:leader="none" w:pos="1236" w:val="left"/>
        </w:tabs>
        <w:numPr>
          <w:ilvl w:val="1"/>
          <w:numId w:val="216"/>
        </w:numPr>
        <w:rPr>
          <w:rFonts w:ascii="Arial" w:cs="Arial" w:eastAsia="Arial" w:hAnsi="Arial"/>
          <w:sz w:val="17"/>
          <w:szCs w:val="17"/>
          <w:color w:val="auto"/>
        </w:rPr>
      </w:pPr>
      <w:r>
        <w:rPr>
          <w:rFonts w:ascii="Arial" w:cs="Arial" w:eastAsia="Arial" w:hAnsi="Arial"/>
          <w:sz w:val="17"/>
          <w:szCs w:val="17"/>
          <w:color w:val="auto"/>
        </w:rPr>
        <w:t>The Executive will not at any time, directly or indirectly, disclose or divulge any Confidential Information, except as required in connection with the performance of the Executive’s duties for the Company, and except to the extent required by law (but only after the Executive has provided the Company with reasonable notice and opportunity to take action against any legally required disclosure). As used herein, “</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means all trade secrets and all other information of a business, financial, marketing, technical or other nature relating to the business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including, without limitation, any customer or vendor lists, prospective customer names, financial statements and projections, know-how, pricing policies, operational methods, methods of doing business, technical processes, formulae, designs and design projects, inventions, computer hardware, software programs, business plans and projects pertaining to the Company and including any information of others that the Company has agreed to keep confidential; provided, that Confidential Information shall not include any information that has entered or enters the public domain through no fault of the Executive.</w:t>
      </w:r>
    </w:p>
    <w:p>
      <w:pPr>
        <w:spacing w:after="0" w:line="180" w:lineRule="exact"/>
        <w:rPr>
          <w:rFonts w:ascii="Arial" w:cs="Arial" w:eastAsia="Arial" w:hAnsi="Arial"/>
          <w:sz w:val="17"/>
          <w:szCs w:val="17"/>
          <w:color w:val="auto"/>
        </w:rPr>
      </w:pPr>
    </w:p>
    <w:p>
      <w:pPr>
        <w:ind w:right="140" w:firstLine="987"/>
        <w:spacing w:after="0" w:line="277" w:lineRule="auto"/>
        <w:tabs>
          <w:tab w:leader="none" w:pos="1246"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Executive shall make no use whatsoever, directly or indirectly, of any Confidential Information at any time, except as required in connection with the performance of the Executive’s duties for the Company.</w:t>
      </w:r>
    </w:p>
    <w:p>
      <w:pPr>
        <w:spacing w:after="0" w:line="170" w:lineRule="exact"/>
        <w:rPr>
          <w:rFonts w:ascii="Arial" w:cs="Arial" w:eastAsia="Arial" w:hAnsi="Arial"/>
          <w:sz w:val="18"/>
          <w:szCs w:val="18"/>
          <w:color w:val="auto"/>
        </w:rPr>
      </w:pPr>
    </w:p>
    <w:p>
      <w:pPr>
        <w:ind w:right="540" w:firstLine="987"/>
        <w:spacing w:after="0" w:line="308" w:lineRule="auto"/>
        <w:tabs>
          <w:tab w:leader="none" w:pos="1236" w:val="left"/>
        </w:tabs>
        <w:numPr>
          <w:ilvl w:val="1"/>
          <w:numId w:val="216"/>
        </w:numPr>
        <w:rPr>
          <w:rFonts w:ascii="Arial" w:cs="Arial" w:eastAsia="Arial" w:hAnsi="Arial"/>
          <w:sz w:val="17"/>
          <w:szCs w:val="17"/>
          <w:color w:val="auto"/>
        </w:rPr>
      </w:pPr>
      <w:r>
        <w:rPr>
          <w:rFonts w:ascii="Arial" w:cs="Arial" w:eastAsia="Arial" w:hAnsi="Arial"/>
          <w:sz w:val="17"/>
          <w:szCs w:val="17"/>
          <w:color w:val="auto"/>
        </w:rPr>
        <w:t>Upon the Company’s request following termination of employment, the Executive shall immediately deliver to the Company all materials (including all soft and hard copies) in the Executive ‘ s possession which contain or relate to Confidential Information.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60" w:name="page261"/>
    <w:bookmarkEnd w:id="260"/>
    <w:p>
      <w:pPr>
        <w:ind w:firstLine="987"/>
        <w:spacing w:after="0" w:line="270" w:lineRule="auto"/>
        <w:tabs>
          <w:tab w:leader="none" w:pos="1246" w:val="left"/>
        </w:tabs>
        <w:numPr>
          <w:ilvl w:val="1"/>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inventions, modifications, discoveries, designs, developments, improvements, processes, software programs, works of authorship, documentation, formulae, data, techniques, know-how, secrets or intellectual property rights or any interest therein (collectively, “Developments “) made by the Executive in connection with his employment with the Company whether or not under this Agreement, either alone or in conjunction with others, at any time or at any place during the Executive’ s employment or other business relationship with the Company, whether or not under this Agreement and whether or not reduced to writing or practice during such period of employment, which relate to the business in which the Company is engaged or any actual or demonstrably anticipated research or development of the Company, shall be and hereby are the exclusive property of the Company without any further compensation to the Executive. In addition, without limiting the generality of the prior sentence, all Developments which are copyrightable work by the Executive are intended to be “workmade for hire” as defined in Section l.01 of the Copyright Act of 1976, as amended, and shall be and hereby are the property of the Company.</w:t>
      </w:r>
    </w:p>
    <w:p>
      <w:pPr>
        <w:spacing w:after="0" w:line="180" w:lineRule="exact"/>
        <w:rPr>
          <w:rFonts w:ascii="Arial" w:cs="Arial" w:eastAsia="Arial" w:hAnsi="Arial"/>
          <w:sz w:val="17"/>
          <w:szCs w:val="17"/>
          <w:color w:val="auto"/>
        </w:rPr>
      </w:pPr>
    </w:p>
    <w:p>
      <w:pPr>
        <w:ind w:right="20" w:firstLine="987"/>
        <w:spacing w:after="0" w:line="288" w:lineRule="auto"/>
        <w:tabs>
          <w:tab w:leader="none" w:pos="123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Executive shall promptly disclose any Developments to the Company. If any Development is not the property of the Company by operation of law, this Agreement or otherwise, the Executive will, and hereby does, assign to the Company all right, title and interest in such Development, without further consideration, and will assist the Company and its nominees in every way, at the Company’ s expense, to secure, maintain and defend the Company’s rights in such Development. The Executive shall sign all instruments reasonably necessary for the filing and prosecution of any applications for, or extension or renewals of, letters patent (or other intellectual property registrations or filings) of the United States or any foreign country which the Company desires to file and relates to any Development. The Executive hereby irrevocably designates and appoints the Company and its duly authorized officers and agents as the Executive’ s agent and attorney-in-fact (which designation and appointment shall be deemed coupled with an interest and shall survive the Executive’s death or incapacity), to act for and in the Executive’ 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w:t>
      </w:r>
    </w:p>
    <w:p>
      <w:pPr>
        <w:spacing w:after="0" w:line="164" w:lineRule="exact"/>
        <w:rPr>
          <w:rFonts w:ascii="Arial" w:cs="Arial" w:eastAsia="Arial" w:hAnsi="Arial"/>
          <w:sz w:val="16"/>
          <w:szCs w:val="16"/>
          <w:color w:val="auto"/>
        </w:rPr>
      </w:pPr>
    </w:p>
    <w:p>
      <w:pPr>
        <w:ind w:firstLine="436"/>
        <w:spacing w:after="0" w:line="282" w:lineRule="auto"/>
        <w:tabs>
          <w:tab w:leader="none" w:pos="62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w:t>
      </w:r>
      <w:r>
        <w:rPr>
          <w:rFonts w:ascii="Arial" w:cs="Arial" w:eastAsia="Arial" w:hAnsi="Arial"/>
          <w:sz w:val="18"/>
          <w:szCs w:val="18"/>
          <w:color w:val="auto"/>
        </w:rPr>
        <w:t>. The Executive agrees that during the Executive’s employment or other business relationship with the Company,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and for a period of one year thereafter (the “</w:t>
      </w:r>
      <w:r>
        <w:rPr>
          <w:rFonts w:ascii="Arial" w:cs="Arial" w:eastAsia="Arial" w:hAnsi="Arial"/>
          <w:sz w:val="18"/>
          <w:szCs w:val="18"/>
          <w:b w:val="1"/>
          <w:bCs w:val="1"/>
          <w:color w:val="auto"/>
        </w:rPr>
        <w:t>Restricted Period</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right="100" w:firstLine="987"/>
        <w:spacing w:after="0" w:line="257" w:lineRule="auto"/>
        <w:tabs>
          <w:tab w:leader="none" w:pos="123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Executive will not, directly or indirectly, individually or as a consultant to, or an Executive, officer, director, manager, stockholder, partner, member or other owner or participant in any business entice away from the Company, reduce the amount of business conducted with the Company by or otherwise materially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187" w:lineRule="exact"/>
        <w:rPr>
          <w:rFonts w:ascii="Arial" w:cs="Arial" w:eastAsia="Arial" w:hAnsi="Arial"/>
          <w:sz w:val="18"/>
          <w:szCs w:val="18"/>
          <w:color w:val="auto"/>
        </w:rPr>
      </w:pPr>
    </w:p>
    <w:p>
      <w:pPr>
        <w:ind w:right="40" w:firstLine="987"/>
        <w:spacing w:after="0" w:line="311" w:lineRule="auto"/>
        <w:tabs>
          <w:tab w:leader="none" w:pos="1246"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the Executive will not, directly or in directly, individually or as a consultant to, or an Executive, officer, director, manager, stockholder, partner, member or other owner or participant in any business entity offer employment to or otherwise interfere with the business relationship of the Company with any person or entity who is, or was within the one-year period immediately prior thereto, employed by the Company.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61" w:name="page262"/>
    <w:bookmarkEnd w:id="261"/>
    <w:p>
      <w:pPr>
        <w:ind w:left="4" w:firstLine="436"/>
        <w:spacing w:after="0" w:line="255" w:lineRule="auto"/>
        <w:tabs>
          <w:tab w:leader="none" w:pos="624"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w:t>
      </w:r>
      <w:r>
        <w:rPr>
          <w:rFonts w:ascii="Arial" w:cs="Arial" w:eastAsia="Arial" w:hAnsi="Arial"/>
          <w:sz w:val="18"/>
          <w:szCs w:val="18"/>
          <w:color w:val="auto"/>
        </w:rPr>
        <w:t>. Without limiting the remedies available to the Company, the Executive acknowledges that a breach of any of the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Sections 5 or 6 hereof could result in irreparable injury to the Company for which there might be no adequate remedy at law, and that, in the event of such a breach or threat thereof, the Company shall be entitled to obtain a temporary restraining order and/or a preliminary injunction and a permanent injunction restraining the Executive from engaging in any activities prohibited by Sections 5 or 6 hereof or such other equitable relief as may be required to enforce specifically any of the covenants contained in Sections 5 or 6 hereof. The foregoing provisions and the provisions of Sections 5 and 6 hereof shall survive the termination of the Executive’s employment with the Company, and shall continue thereafter in full force and effect in accordance with their terms.</w:t>
      </w:r>
    </w:p>
    <w:p>
      <w:pPr>
        <w:spacing w:after="0" w:line="188" w:lineRule="exact"/>
        <w:rPr>
          <w:rFonts w:ascii="Arial" w:cs="Arial" w:eastAsia="Arial" w:hAnsi="Arial"/>
          <w:sz w:val="18"/>
          <w:szCs w:val="18"/>
          <w:b w:val="1"/>
          <w:bCs w:val="1"/>
          <w:color w:val="auto"/>
        </w:rPr>
      </w:pPr>
    </w:p>
    <w:p>
      <w:pPr>
        <w:ind w:left="4" w:right="20" w:firstLine="436"/>
        <w:spacing w:after="0" w:line="347" w:lineRule="auto"/>
        <w:tabs>
          <w:tab w:leader="none" w:pos="624" w:val="left"/>
        </w:tabs>
        <w:numPr>
          <w:ilvl w:val="1"/>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Applicability to Related Companies</w:t>
      </w:r>
      <w:r>
        <w:rPr>
          <w:rFonts w:ascii="Arial" w:cs="Arial" w:eastAsia="Arial" w:hAnsi="Arial"/>
          <w:sz w:val="16"/>
          <w:szCs w:val="16"/>
          <w:color w:val="auto"/>
        </w:rPr>
        <w:t>. For purposes of Sections 5, 6 and 7 of this Agreement, the term “</w:t>
      </w:r>
      <w:r>
        <w:rPr>
          <w:rFonts w:ascii="Arial" w:cs="Arial" w:eastAsia="Arial" w:hAnsi="Arial"/>
          <w:sz w:val="16"/>
          <w:szCs w:val="16"/>
          <w:b w:val="1"/>
          <w:bCs w:val="1"/>
          <w:color w:val="auto"/>
        </w:rPr>
        <w:t>Company</w:t>
      </w:r>
      <w:r>
        <w:rPr>
          <w:rFonts w:ascii="Arial" w:cs="Arial" w:eastAsia="Arial" w:hAnsi="Arial"/>
          <w:sz w:val="16"/>
          <w:szCs w:val="16"/>
          <w:color w:val="auto"/>
        </w:rPr>
        <w:t>” shall include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Parent and each of their respective subsidiaries, whether now existing or hereinafter created, and their respective successors and assigns.</w:t>
      </w:r>
    </w:p>
    <w:p>
      <w:pPr>
        <w:spacing w:after="0" w:line="115" w:lineRule="exact"/>
        <w:rPr>
          <w:rFonts w:ascii="Arial" w:cs="Arial" w:eastAsia="Arial" w:hAnsi="Arial"/>
          <w:sz w:val="16"/>
          <w:szCs w:val="16"/>
          <w:b w:val="1"/>
          <w:bCs w:val="1"/>
          <w:color w:val="auto"/>
        </w:rPr>
      </w:pPr>
    </w:p>
    <w:p>
      <w:pPr>
        <w:ind w:left="4" w:right="20" w:firstLine="436"/>
        <w:spacing w:after="0" w:line="303" w:lineRule="auto"/>
        <w:tabs>
          <w:tab w:leader="none" w:pos="624" w:val="left"/>
        </w:tabs>
        <w:numPr>
          <w:ilvl w:val="1"/>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Review of Agreement; Reasonable Restrictions</w:t>
      </w:r>
      <w:r>
        <w:rPr>
          <w:rFonts w:ascii="Arial" w:cs="Arial" w:eastAsia="Arial" w:hAnsi="Arial"/>
          <w:sz w:val="16"/>
          <w:szCs w:val="16"/>
          <w:color w:val="auto"/>
        </w:rPr>
        <w:t>. The Executive (a) has carefully read and understands all of the provisions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has had the opportunity for this Agreement to be reviewed by counsel, (b) acknowledges that the duration, scope and subject matter of Sections 5 through 8 of this Agreement are reasonable and necessary to protect the goodwill, customer relationships, legitimate business interests and Confidential Information of the Company and its affiliates, and (c) will be able to earn a satisfactory livelihood without violating this Agreement.</w:t>
      </w:r>
    </w:p>
    <w:p>
      <w:pPr>
        <w:spacing w:after="0" w:line="150" w:lineRule="exact"/>
        <w:rPr>
          <w:rFonts w:ascii="Arial" w:cs="Arial" w:eastAsia="Arial" w:hAnsi="Arial"/>
          <w:sz w:val="16"/>
          <w:szCs w:val="16"/>
          <w:b w:val="1"/>
          <w:bCs w:val="1"/>
          <w:color w:val="auto"/>
        </w:rPr>
      </w:pPr>
    </w:p>
    <w:p>
      <w:pPr>
        <w:ind w:left="704" w:hanging="264"/>
        <w:spacing w:after="0"/>
        <w:tabs>
          <w:tab w:leader="none" w:pos="704"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2"/>
          <w:numId w:val="219"/>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Executive’s employment with the Company may be terminated at any time (i) by the Company with or without Cause,</w:t>
      </w:r>
    </w:p>
    <w:p>
      <w:pPr>
        <w:spacing w:after="0" w:line="50" w:lineRule="exact"/>
        <w:rPr>
          <w:rFonts w:ascii="Arial" w:cs="Arial" w:eastAsia="Arial" w:hAnsi="Arial"/>
          <w:sz w:val="16"/>
          <w:szCs w:val="16"/>
          <w:color w:val="auto"/>
        </w:rPr>
      </w:pPr>
    </w:p>
    <w:p>
      <w:pPr>
        <w:ind w:left="4" w:right="40" w:hanging="4"/>
        <w:spacing w:after="0" w:line="260" w:lineRule="auto"/>
        <w:tabs>
          <w:tab w:leader="none" w:pos="26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by the Executive for any or no reason, or (iii) by the Company or the Executive in the event of the Executive’ s Disability, and shall terminate in the event of the Executive’s death.</w:t>
      </w:r>
    </w:p>
    <w:p>
      <w:pPr>
        <w:spacing w:after="0" w:line="181" w:lineRule="exact"/>
        <w:rPr>
          <w:rFonts w:ascii="Arial" w:cs="Arial" w:eastAsia="Arial" w:hAnsi="Arial"/>
          <w:sz w:val="18"/>
          <w:szCs w:val="18"/>
          <w:color w:val="auto"/>
        </w:rPr>
      </w:pPr>
    </w:p>
    <w:p>
      <w:pPr>
        <w:ind w:left="1244" w:hanging="253"/>
        <w:spacing w:after="0"/>
        <w:tabs>
          <w:tab w:leader="none" w:pos="1244" w:val="left"/>
        </w:tabs>
        <w:numPr>
          <w:ilvl w:val="2"/>
          <w:numId w:val="22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following terms shall have the following meanings:</w:t>
      </w:r>
    </w:p>
    <w:p>
      <w:pPr>
        <w:spacing w:after="0" w:line="225" w:lineRule="exact"/>
        <w:rPr>
          <w:sz w:val="20"/>
          <w:szCs w:val="20"/>
          <w:color w:val="auto"/>
        </w:rPr>
      </w:pPr>
    </w:p>
    <w:p>
      <w:pPr>
        <w:jc w:val="both"/>
        <w:ind w:left="4" w:right="54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that the Executive has: (i) knowingly and willfully breached any fiduciary duty or any material legal or contractual obligation to the Company, which breach, if curable, is not cured within 15 days after written notice to the Executive thereof or, if cured, recurs;</w:t>
      </w:r>
    </w:p>
    <w:p>
      <w:pPr>
        <w:spacing w:after="0" w:line="1" w:lineRule="exact"/>
        <w:rPr>
          <w:sz w:val="20"/>
          <w:szCs w:val="20"/>
          <w:color w:val="auto"/>
        </w:rPr>
      </w:pPr>
    </w:p>
    <w:p>
      <w:pPr>
        <w:ind w:left="4" w:right="20" w:hanging="4"/>
        <w:spacing w:after="0" w:line="281" w:lineRule="auto"/>
        <w:tabs>
          <w:tab w:leader="none" w:pos="26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failed to follow any reasonable directive of the Board, which failure, if curable, is not cured within 15 days after written notice to the Executive thereof or, if cured, recurs; (iii) engaged in gross negligence, fraud, embezzlement, acts of dishonesty or knowing and willful conflict of interest relating to the affairs of the Company or any of its affiliates; (iv) been convicted of or pleaded nolo contendere to (A) any misdemeanor relating to the affairs of the Company or any of its affiliates or (B) any felony (excluding any motor vehicle offense for which a non-custodial sentence is received);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engaged in a willful violation of any federal or state securities laws ;</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0" w:right="499" w:bottom="1440" w:gutter="0" w:footer="0" w:header="0"/>
        </w:sectPr>
      </w:pPr>
    </w:p>
    <w:bookmarkStart w:id="262" w:name="page263"/>
    <w:bookmarkEnd w:id="26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that no condition set forth in the preceding subsections (i) and (ii) will be deemed Cause unless within 30 days from the date the Company initially became aware of the existence of such Cause, the Company notifies the Executive, in writing, describing the conditions giving rise to Cause and allowing the Executive fifteen (15) days’ notice to cure such condition.</w:t>
      </w:r>
    </w:p>
    <w:p>
      <w:pPr>
        <w:spacing w:after="0" w:line="18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(a) a material diminution (of 10% or more) of the Base Salary or target Bonus (i.e. the size of the target Bonus that the Executive has the opportunity to earn) unless the Executive consents to such reduction.; or (b) any material breach by the Company of any written agreement between the Executive and the Company; or (c) a relocation of the principal office of the Company more than thirty (30) miles; and (d) a material diminution of the duties, title, authority or responsibilities of the Executive other than those duties, titles, authority or responsibilities that are by their nature or specifically identified as temporary, provided that no condition set forth in the preceding will be deemed Good Reason unless the Company cures the condition(s) giving rise to Good Reason within 30 days from the date on which the Executive notifies the Company, in writing, of such condition(s).</w:t>
      </w:r>
    </w:p>
    <w:p>
      <w:pPr>
        <w:spacing w:after="0" w:line="189"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illness (mental or physical) or accident, which results in the Executive being unable to perform the Executive’s duties as an Executive of the Company as reasonably determined by a competent physician, for a period of 90 days, whether or not consecutive, in any 12-month period.</w:t>
      </w:r>
    </w:p>
    <w:p>
      <w:pPr>
        <w:spacing w:after="0" w:line="176" w:lineRule="exact"/>
        <w:rPr>
          <w:sz w:val="20"/>
          <w:szCs w:val="20"/>
          <w:color w:val="auto"/>
        </w:rPr>
      </w:pPr>
    </w:p>
    <w:p>
      <w:pPr>
        <w:ind w:right="20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Severance</w:t>
      </w:r>
      <w:r>
        <w:rPr>
          <w:rFonts w:ascii="Arial" w:cs="Arial" w:eastAsia="Arial" w:hAnsi="Arial"/>
          <w:sz w:val="16"/>
          <w:szCs w:val="16"/>
          <w:color w:val="auto"/>
        </w:rPr>
        <w:t>” means (i) continuation of regular payments of Base Salary (at the rate in effect on the date of termination) to the Executive for a period of nine months from the date of termination of employment, payable in accordance with the Company’s regular payroll schedule.</w:t>
      </w:r>
    </w:p>
    <w:p>
      <w:pPr>
        <w:spacing w:after="0" w:line="116" w:lineRule="exact"/>
        <w:rPr>
          <w:sz w:val="20"/>
          <w:szCs w:val="20"/>
          <w:color w:val="auto"/>
        </w:rPr>
      </w:pPr>
    </w:p>
    <w:p>
      <w:pPr>
        <w:ind w:right="20" w:firstLine="987"/>
        <w:spacing w:after="0" w:line="277" w:lineRule="auto"/>
        <w:tabs>
          <w:tab w:leader="none" w:pos="1236" w:val="left"/>
        </w:tabs>
        <w:numPr>
          <w:ilvl w:val="0"/>
          <w:numId w:val="223"/>
        </w:numPr>
        <w:rPr>
          <w:rFonts w:ascii="Arial" w:cs="Arial" w:eastAsia="Arial" w:hAnsi="Arial"/>
          <w:sz w:val="17"/>
          <w:szCs w:val="17"/>
          <w:color w:val="auto"/>
        </w:rPr>
      </w:pPr>
      <w:r>
        <w:rPr>
          <w:rFonts w:ascii="Arial" w:cs="Arial" w:eastAsia="Arial" w:hAnsi="Arial"/>
          <w:sz w:val="17"/>
          <w:szCs w:val="17"/>
          <w:b w:val="1"/>
          <w:bCs w:val="1"/>
          <w:color w:val="auto"/>
        </w:rPr>
        <w:t>Effects of Termination</w:t>
      </w:r>
      <w:r>
        <w:rPr>
          <w:rFonts w:ascii="Arial" w:cs="Arial" w:eastAsia="Arial" w:hAnsi="Arial"/>
          <w:sz w:val="17"/>
          <w:szCs w:val="17"/>
          <w:color w:val="auto"/>
        </w:rPr>
        <w:t>. If the Executive’s employment is terminated during the Term, the Company shall have no further obligation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any payments or provide any benefits to the Executive hereunder after the date of termination except for (i) payments of Base Salary and expense reimbursement that had accrued but had not been paid prior to the date of termination, (ii) if required by law, payments for any accrued but unused vacation time, and (iii) if the Executive’ s employment with the Company is terminated by the Company without Cause (other than as a result of death or Disability of the Executive) or by the Executive for Good Reason, payments of Severance shall be due.</w:t>
      </w:r>
    </w:p>
    <w:p>
      <w:pPr>
        <w:spacing w:after="0" w:line="172"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Severance benefits available to the Executive under this Section 10 are the sole and exclusive severance payments and benefits to which the Executive may be entitled upon termination of the Executive’s employment. The Executive shall not be entitled to receive any other severance-related payments or benefits under any other plan or agreement which may from time to time be made available to other Executives of the Company or any affiliate.</w:t>
      </w:r>
    </w:p>
    <w:p>
      <w:pPr>
        <w:spacing w:after="0" w:line="183" w:lineRule="exact"/>
        <w:rPr>
          <w:sz w:val="20"/>
          <w:szCs w:val="20"/>
          <w:color w:val="auto"/>
        </w:rPr>
      </w:pPr>
    </w:p>
    <w:p>
      <w:pPr>
        <w:ind w:right="500" w:firstLine="987"/>
        <w:spacing w:after="0" w:line="282" w:lineRule="auto"/>
        <w:tabs>
          <w:tab w:leader="none" w:pos="1246"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Conditions and Limitations to Severance</w:t>
      </w:r>
      <w:r>
        <w:rPr>
          <w:rFonts w:ascii="Arial" w:cs="Arial" w:eastAsia="Arial" w:hAnsi="Arial"/>
          <w:sz w:val="18"/>
          <w:szCs w:val="18"/>
          <w:color w:val="auto"/>
        </w:rPr>
        <w:t>. Notwithstanding the foregoing, the Company’s obligation to pay Severance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provisions and conditions:</w:t>
      </w:r>
    </w:p>
    <w:p>
      <w:pPr>
        <w:spacing w:after="0" w:line="161" w:lineRule="exact"/>
        <w:rPr>
          <w:rFonts w:ascii="Arial" w:cs="Arial" w:eastAsia="Arial" w:hAnsi="Arial"/>
          <w:sz w:val="18"/>
          <w:szCs w:val="18"/>
          <w:color w:val="auto"/>
        </w:rPr>
      </w:pPr>
    </w:p>
    <w:p>
      <w:pPr>
        <w:ind w:right="60" w:firstLine="1428"/>
        <w:spacing w:after="0" w:line="282" w:lineRule="auto"/>
        <w:tabs>
          <w:tab w:leader="none" w:pos="1647" w:val="left"/>
        </w:tabs>
        <w:numPr>
          <w:ilvl w:val="1"/>
          <w:numId w:val="224"/>
        </w:numPr>
        <w:rPr>
          <w:rFonts w:ascii="Arial" w:cs="Arial" w:eastAsia="Arial" w:hAnsi="Arial"/>
          <w:sz w:val="18"/>
          <w:szCs w:val="18"/>
          <w:color w:val="auto"/>
        </w:rPr>
      </w:pPr>
      <w:r>
        <w:rPr>
          <w:rFonts w:ascii="Arial" w:cs="Arial" w:eastAsia="Arial" w:hAnsi="Arial"/>
          <w:sz w:val="18"/>
          <w:szCs w:val="18"/>
          <w:b w:val="1"/>
          <w:bCs w:val="1"/>
          <w:color w:val="auto"/>
        </w:rPr>
        <w:t>Release of Claims</w:t>
      </w:r>
      <w:r>
        <w:rPr>
          <w:rFonts w:ascii="Arial" w:cs="Arial" w:eastAsia="Arial" w:hAnsi="Arial"/>
          <w:sz w:val="18"/>
          <w:szCs w:val="18"/>
          <w:color w:val="auto"/>
        </w:rPr>
        <w:t>. The Company’s obligation to pay Severance shall be contingent upon the Executive signing a general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reasonably acceptable to the Company and Executive.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63" w:name="page264"/>
    <w:bookmarkEnd w:id="263"/>
    <w:p>
      <w:pPr>
        <w:ind w:right="260" w:firstLine="1428"/>
        <w:spacing w:after="0" w:line="281" w:lineRule="auto"/>
        <w:tabs>
          <w:tab w:leader="none" w:pos="1697" w:val="left"/>
        </w:tabs>
        <w:numPr>
          <w:ilvl w:val="0"/>
          <w:numId w:val="22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Consequences of Breach</w:t>
      </w:r>
      <w:r>
        <w:rPr>
          <w:rFonts w:ascii="Arial" w:cs="Arial" w:eastAsia="Arial" w:hAnsi="Arial"/>
          <w:sz w:val="17"/>
          <w:szCs w:val="17"/>
          <w:color w:val="auto"/>
        </w:rPr>
        <w:t>. If the Executive breaches the Executive’s obligations under Sections 4 or 5 of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immediately cease payments of Severance and may recover all Severance paid to the Executive after the date of such breach. The cessation and recovery of these payments shall be in addition to, and not as an alternative to, any other remedies at law or in equity available to the Company including, without limitation, the right to seek specific performance or an injunction.</w:t>
      </w:r>
    </w:p>
    <w:p>
      <w:pPr>
        <w:spacing w:after="0" w:line="169"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For purposes of Section 409A, each payment of Severance shall be considered a separate payment and not one of a series of payments. Any payment under this Section 10 that is not made during the period following the termination of the Employee’s employment because the Employee has not executed the release contemplated hereby shall be paid to the Employee in a single lump sum on the first payroll date following the last day of any applicable revocation period after the Employee executes the release; provided, that the Employee executes and does not revoke the release in accordance with the requirements hereof.</w:t>
      </w:r>
    </w:p>
    <w:p>
      <w:pPr>
        <w:spacing w:after="0" w:line="184" w:lineRule="exact"/>
        <w:rPr>
          <w:sz w:val="20"/>
          <w:szCs w:val="20"/>
          <w:color w:val="auto"/>
        </w:rPr>
      </w:pPr>
    </w:p>
    <w:p>
      <w:pPr>
        <w:ind w:right="280" w:firstLine="436"/>
        <w:spacing w:after="0" w:line="282" w:lineRule="auto"/>
        <w:tabs>
          <w:tab w:leader="none" w:pos="7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The provisions of Sections 5 through 24 of this Agreement shall survive the termination of the Executive’s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shall continue thereafter in full force and effect in accordance with their terms.</w:t>
      </w:r>
    </w:p>
    <w:p>
      <w:pPr>
        <w:spacing w:after="0" w:line="161" w:lineRule="exact"/>
        <w:rPr>
          <w:rFonts w:ascii="Arial" w:cs="Arial" w:eastAsia="Arial" w:hAnsi="Arial"/>
          <w:sz w:val="18"/>
          <w:szCs w:val="18"/>
          <w:b w:val="1"/>
          <w:bCs w:val="1"/>
          <w:color w:val="auto"/>
        </w:rPr>
      </w:pPr>
    </w:p>
    <w:p>
      <w:pPr>
        <w:ind w:firstLine="436"/>
        <w:spacing w:after="0" w:line="255" w:lineRule="auto"/>
        <w:tabs>
          <w:tab w:leader="none" w:pos="71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is intended to comply with the requirements of Section 409A and the regulations thereunder.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in this Agreement is ambiguous as to its compliance with Section 409A of the Code, the provision shall be interpreted in a manner so that no payment due to Executive shall be subject to an “additional tax” within the meaning of Section 409A(a)(1 )(B) of the Code. To the extent that any provision in the Agreement is ambiguous as to its compliance with Section 409A of the Code, or to the extent any provision in the Agreement must be modified to comply with Section 409A of the Code, such provision shall be read, or shall be modified (with the mutual consent of the parties), as the case may be, in such a manner so that no payment due to Executive shall be subject to an “additional tax” within the meaning of Section 409A(a)(l)(B) of the Code.</w:t>
      </w:r>
    </w:p>
    <w:p>
      <w:pPr>
        <w:spacing w:after="0" w:line="193"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For purposes of Section 409A of the Code, each payment made under this Agreement shall be treated as a separate payment. In no event may Executive, directly or indirectly, designate the calendar year of any payment. All reimbursements provided under this Agreement shall be made or provided in accordance with the requirements of Section 409A of the Code, including, where applicable, the requirement that (i) any reimbursement be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7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Notwithstanding anything to the contrary herein, if a payment or benefit under this Agreement is due to a “separation from service” for purposes of the rules under Treas. Reg. § I .409A-3(i)(2) (payments to specified employees upon a separation from service) and Executive is determined to be a “specified employee” (as determined under Treas. Reg. § I.409A-l(i)), such payment or benefit shall, to the extent necessary to comply with the requirements of Section 409A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264" w:name="page265"/>
    <w:bookmarkEnd w:id="264"/>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Code, be made or provided on the later of the date specified by the foregoing provisions of this Agreement or the date that is six months after the date of Executive’s separation from service (or, if earlier, the date of Executive’s death). Any installment payments that are delayed pursuant to this Section 12 shall be accumulated and paid in a lump sum on the first day of the seventh month following Executive’ s separation from service, and the remaining installment payments shall begin on such date in accordance with the schedule provided in this Agreement.</w:t>
      </w:r>
    </w:p>
    <w:p>
      <w:pPr>
        <w:spacing w:after="0" w:line="167" w:lineRule="exact"/>
        <w:rPr>
          <w:sz w:val="20"/>
          <w:szCs w:val="20"/>
          <w:color w:val="auto"/>
        </w:rPr>
      </w:pPr>
    </w:p>
    <w:p>
      <w:pPr>
        <w:ind w:right="120" w:firstLine="436"/>
        <w:spacing w:after="0" w:line="277" w:lineRule="auto"/>
        <w:tabs>
          <w:tab w:leader="none" w:pos="710"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Enforceability, Etc</w:t>
      </w:r>
      <w:r>
        <w:rPr>
          <w:rFonts w:ascii="Arial" w:cs="Arial" w:eastAsia="Arial" w:hAnsi="Arial"/>
          <w:sz w:val="17"/>
          <w:szCs w:val="17"/>
          <w:color w:val="auto"/>
        </w:rPr>
        <w:t>. This Agreement shall be interpreted in such a manner as to be effective and valid under applicable law, but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spacing w:after="0" w:line="167" w:lineRule="exact"/>
        <w:rPr>
          <w:rFonts w:ascii="Arial" w:cs="Arial" w:eastAsia="Arial" w:hAnsi="Arial"/>
          <w:sz w:val="17"/>
          <w:szCs w:val="17"/>
          <w:b w:val="1"/>
          <w:bCs w:val="1"/>
          <w:color w:val="auto"/>
        </w:rPr>
      </w:pPr>
    </w:p>
    <w:p>
      <w:pPr>
        <w:ind w:left="700" w:hanging="264"/>
        <w:spacing w:after="0"/>
        <w:tabs>
          <w:tab w:leader="none" w:pos="700"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and other communications given or made pursuant to this Agreement shall be in writing and shall be deemed effectively</w:t>
      </w:r>
    </w:p>
    <w:p>
      <w:pPr>
        <w:spacing w:after="0" w:line="50" w:lineRule="exact"/>
        <w:rPr>
          <w:rFonts w:ascii="Arial" w:cs="Arial" w:eastAsia="Arial" w:hAnsi="Arial"/>
          <w:sz w:val="16"/>
          <w:szCs w:val="16"/>
          <w:b w:val="1"/>
          <w:bCs w:val="1"/>
          <w:color w:val="auto"/>
        </w:rPr>
      </w:pPr>
    </w:p>
    <w:p>
      <w:pPr>
        <w:ind w:right="14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given: (i) upon personal delivery to the party to be notified; (ii) when sent by confirmed facsimile if sent during normal business hours of the recipient, and if not so confirmed,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respective parties at their address as set forth below, or to such facsimile number or address as subsequently modified by written notice given in accordance with this Section 14.</w:t>
      </w:r>
    </w:p>
    <w:p>
      <w:pPr>
        <w:spacing w:after="0" w:line="190" w:lineRule="exact"/>
        <w:rPr>
          <w:rFonts w:ascii="Arial" w:cs="Arial" w:eastAsia="Arial" w:hAnsi="Arial"/>
          <w:sz w:val="16"/>
          <w:szCs w:val="16"/>
          <w:b w:val="1"/>
          <w:bCs w:val="1"/>
          <w:color w:val="auto"/>
        </w:rPr>
      </w:pPr>
    </w:p>
    <w:p>
      <w:pPr>
        <w:ind w:left="1240" w:hanging="253"/>
        <w:spacing w:after="0"/>
        <w:tabs>
          <w:tab w:leader="none" w:pos="12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If to the Executive, to the most recent address reflected in the Company’s records.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If to the Company, to the Company’s principal place of business.</w:t>
      </w:r>
    </w:p>
    <w:p>
      <w:pPr>
        <w:spacing w:after="0" w:line="221" w:lineRule="exact"/>
        <w:rPr>
          <w:rFonts w:ascii="Arial" w:cs="Arial" w:eastAsia="Arial" w:hAnsi="Arial"/>
          <w:sz w:val="18"/>
          <w:szCs w:val="18"/>
          <w:color w:val="auto"/>
        </w:rPr>
      </w:pPr>
    </w:p>
    <w:p>
      <w:pPr>
        <w:ind w:right="160" w:firstLine="436"/>
        <w:spacing w:after="0" w:line="266" w:lineRule="auto"/>
        <w:tabs>
          <w:tab w:leader="none" w:pos="71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internal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without regard to its choice of law provisions, and any proceedings shall be commenced and maintained in any federal or state court of competent jurisdiction located in said Commonwealth.</w:t>
      </w:r>
    </w:p>
    <w:p>
      <w:pPr>
        <w:spacing w:after="0" w:line="175" w:lineRule="exact"/>
        <w:rPr>
          <w:rFonts w:ascii="Arial" w:cs="Arial" w:eastAsia="Arial" w:hAnsi="Arial"/>
          <w:sz w:val="18"/>
          <w:szCs w:val="18"/>
          <w:b w:val="1"/>
          <w:bCs w:val="1"/>
          <w:color w:val="auto"/>
        </w:rPr>
      </w:pPr>
    </w:p>
    <w:p>
      <w:pPr>
        <w:ind w:firstLine="436"/>
        <w:spacing w:after="0" w:line="277" w:lineRule="auto"/>
        <w:tabs>
          <w:tab w:leader="none" w:pos="710"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EACH PARTY HERETO ACKNOWLEDGES AND AGREES THAT ANY CONTROVERSY WHICH MAY ARISE</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AND ANY OF THE AGREEMENTS DELIVERED IN CONNECTION HEREWITH OR THE TRANSACTIONS CONTEMPLATED HEREBY OR THEREBY.</w:t>
      </w:r>
    </w:p>
    <w:p>
      <w:pPr>
        <w:spacing w:after="0" w:line="167" w:lineRule="exact"/>
        <w:rPr>
          <w:rFonts w:ascii="Arial" w:cs="Arial" w:eastAsia="Arial" w:hAnsi="Arial"/>
          <w:sz w:val="17"/>
          <w:szCs w:val="17"/>
          <w:b w:val="1"/>
          <w:bCs w:val="1"/>
          <w:color w:val="auto"/>
        </w:rPr>
      </w:pPr>
    </w:p>
    <w:p>
      <w:pPr>
        <w:ind w:right="440" w:firstLine="436"/>
        <w:spacing w:after="0" w:line="314" w:lineRule="auto"/>
        <w:tabs>
          <w:tab w:leader="none" w:pos="710"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No Mitigation; No Set Off</w:t>
      </w:r>
      <w:r>
        <w:rPr>
          <w:rFonts w:ascii="Arial" w:cs="Arial" w:eastAsia="Arial" w:hAnsi="Arial"/>
          <w:sz w:val="16"/>
          <w:szCs w:val="16"/>
          <w:color w:val="auto"/>
        </w:rPr>
        <w:t>. In the event of termination without Cause or resignation for Good Reason, the Executive shall be under no</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seek other employment and there shall be no offset against any amount due to Executive under this Agreement on account of any subsequent renumeration received from any subsequent employer. No amounts payable hereunder shall not be subject to any setoff or recoupment.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65" w:name="page266"/>
    <w:bookmarkEnd w:id="265"/>
    <w:p>
      <w:pPr>
        <w:ind w:right="300" w:firstLine="436"/>
        <w:spacing w:after="0" w:line="298" w:lineRule="auto"/>
        <w:tabs>
          <w:tab w:leader="none" w:pos="710" w:val="left"/>
        </w:tabs>
        <w:numPr>
          <w:ilvl w:val="0"/>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and Waivers</w:t>
      </w:r>
      <w:r>
        <w:rPr>
          <w:rFonts w:ascii="Arial" w:cs="Arial" w:eastAsia="Arial" w:hAnsi="Arial"/>
          <w:sz w:val="16"/>
          <w:szCs w:val="16"/>
          <w:color w:val="auto"/>
        </w:rPr>
        <w:t>. This Agreement may be amended or modified only by a written instrument signed by the Company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direction of the Management Board) and the Executive. No waiver of this Agreement or any provision hereof shall be binding upon the party against whom enforcement of such 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spacing w:after="0" w:line="153" w:lineRule="exact"/>
        <w:rPr>
          <w:rFonts w:ascii="Arial" w:cs="Arial" w:eastAsia="Arial" w:hAnsi="Arial"/>
          <w:sz w:val="16"/>
          <w:szCs w:val="16"/>
          <w:b w:val="1"/>
          <w:bCs w:val="1"/>
          <w:color w:val="auto"/>
        </w:rPr>
      </w:pPr>
    </w:p>
    <w:p>
      <w:pPr>
        <w:ind w:right="200" w:firstLine="436"/>
        <w:spacing w:after="0" w:line="261" w:lineRule="auto"/>
        <w:tabs>
          <w:tab w:leader="none" w:pos="71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Agreement shall be binding on and inure to the benefit of the parties hereto and their respective heirs, executors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and assigns, except that the rights and obligations of the Executive hereunder are personal and may not be assigned without the Company’s prior written consent. Any assignment of this Agreement by the Company shall not be considered a termination of the Executive’s employment.</w:t>
      </w:r>
    </w:p>
    <w:p>
      <w:pPr>
        <w:spacing w:after="0" w:line="179" w:lineRule="exact"/>
        <w:rPr>
          <w:rFonts w:ascii="Arial" w:cs="Arial" w:eastAsia="Arial" w:hAnsi="Arial"/>
          <w:sz w:val="18"/>
          <w:szCs w:val="18"/>
          <w:b w:val="1"/>
          <w:bCs w:val="1"/>
          <w:color w:val="auto"/>
        </w:rPr>
      </w:pPr>
    </w:p>
    <w:p>
      <w:pPr>
        <w:ind w:right="280" w:firstLine="436"/>
        <w:spacing w:after="0" w:line="312" w:lineRule="auto"/>
        <w:tabs>
          <w:tab w:leader="none" w:pos="710"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constitutes the final and entire agreement of the parties with respect to the matters covered hereby and</w:t>
      </w:r>
      <w:r>
        <w:rPr>
          <w:rFonts w:ascii="Arial" w:cs="Arial" w:eastAsia="Arial" w:hAnsi="Arial"/>
          <w:sz w:val="17"/>
          <w:szCs w:val="17"/>
          <w:b w:val="1"/>
          <w:bCs w:val="1"/>
          <w:color w:val="auto"/>
        </w:rPr>
        <w:t xml:space="preserve"> </w:t>
      </w:r>
      <w:r>
        <w:rPr>
          <w:rFonts w:ascii="Arial" w:cs="Arial" w:eastAsia="Arial" w:hAnsi="Arial"/>
          <w:sz w:val="17"/>
          <w:szCs w:val="17"/>
          <w:color w:val="auto"/>
        </w:rPr>
        <w:t>replaces and supersedes all other agreements and understandings relating hereto and to the Executive’s employment.</w:t>
      </w:r>
    </w:p>
    <w:p>
      <w:pPr>
        <w:spacing w:after="0" w:line="139" w:lineRule="exact"/>
        <w:rPr>
          <w:rFonts w:ascii="Arial" w:cs="Arial" w:eastAsia="Arial" w:hAnsi="Arial"/>
          <w:sz w:val="17"/>
          <w:szCs w:val="17"/>
          <w:b w:val="1"/>
          <w:bCs w:val="1"/>
          <w:color w:val="auto"/>
        </w:rPr>
      </w:pPr>
    </w:p>
    <w:p>
      <w:pPr>
        <w:ind w:firstLine="436"/>
        <w:spacing w:after="0" w:line="261" w:lineRule="auto"/>
        <w:tabs>
          <w:tab w:leader="none" w:pos="71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any number of counterparts, all of which together shall for all purposes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Counterpart signature pages to this Agreement transmitted by facsimile transmission, by electronic mail in “portable document format” or “.pdf” form, or by any other electronic means intended to preserve the original graphic and pictorial appearance of a document, will have the same effect as physical delivery of the paper document bearing an original signature.</w:t>
      </w:r>
    </w:p>
    <w:p>
      <w:pPr>
        <w:spacing w:after="0" w:line="179" w:lineRule="exact"/>
        <w:rPr>
          <w:rFonts w:ascii="Arial" w:cs="Arial" w:eastAsia="Arial" w:hAnsi="Arial"/>
          <w:sz w:val="18"/>
          <w:szCs w:val="18"/>
          <w:b w:val="1"/>
          <w:bCs w:val="1"/>
          <w:color w:val="auto"/>
        </w:rPr>
      </w:pPr>
    </w:p>
    <w:p>
      <w:pPr>
        <w:ind w:right="160" w:firstLine="436"/>
        <w:spacing w:after="0" w:line="266" w:lineRule="auto"/>
        <w:tabs>
          <w:tab w:leader="none" w:pos="71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Conflicting Agreements</w:t>
      </w:r>
      <w:r>
        <w:rPr>
          <w:rFonts w:ascii="Arial" w:cs="Arial" w:eastAsia="Arial" w:hAnsi="Arial"/>
          <w:sz w:val="18"/>
          <w:szCs w:val="18"/>
          <w:color w:val="auto"/>
        </w:rPr>
        <w:t>. The Executive represents and warrants to the Company that the Executive is not a party to or bound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noncompetition, nonsolicitation, employment, consulting or other agreement or restriction which could conflict with, or be violated by, the performance of the Executive’s duties to the Company or obligations under this Agreement.</w:t>
      </w:r>
    </w:p>
    <w:p>
      <w:pPr>
        <w:spacing w:after="0" w:line="175" w:lineRule="exact"/>
        <w:rPr>
          <w:rFonts w:ascii="Arial" w:cs="Arial" w:eastAsia="Arial" w:hAnsi="Arial"/>
          <w:sz w:val="18"/>
          <w:szCs w:val="18"/>
          <w:b w:val="1"/>
          <w:bCs w:val="1"/>
          <w:color w:val="auto"/>
        </w:rPr>
      </w:pPr>
    </w:p>
    <w:p>
      <w:pPr>
        <w:ind w:right="80" w:firstLine="436"/>
        <w:spacing w:after="0" w:line="282" w:lineRule="auto"/>
        <w:tabs>
          <w:tab w:leader="none" w:pos="71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Captions</w:t>
      </w:r>
      <w:r>
        <w:rPr>
          <w:rFonts w:ascii="Arial" w:cs="Arial" w:eastAsia="Arial" w:hAnsi="Arial"/>
          <w:sz w:val="18"/>
          <w:szCs w:val="18"/>
          <w:color w:val="auto"/>
        </w:rPr>
        <w:t>. The captions of the sections of this Agreement are for convenience of reference only and in no way define, limit or affect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or substance of any section of this Agreement.</w:t>
      </w:r>
    </w:p>
    <w:p>
      <w:pPr>
        <w:spacing w:after="0" w:line="161" w:lineRule="exact"/>
        <w:rPr>
          <w:rFonts w:ascii="Arial" w:cs="Arial" w:eastAsia="Arial" w:hAnsi="Arial"/>
          <w:sz w:val="18"/>
          <w:szCs w:val="18"/>
          <w:b w:val="1"/>
          <w:bCs w:val="1"/>
          <w:color w:val="auto"/>
        </w:rPr>
      </w:pPr>
    </w:p>
    <w:p>
      <w:pPr>
        <w:ind w:right="100" w:firstLine="436"/>
        <w:spacing w:after="0" w:line="261" w:lineRule="auto"/>
        <w:tabs>
          <w:tab w:leader="none" w:pos="71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No Strict Construction</w:t>
      </w:r>
      <w:r>
        <w:rPr>
          <w:rFonts w:ascii="Arial" w:cs="Arial" w:eastAsia="Arial" w:hAnsi="Arial"/>
          <w:sz w:val="18"/>
          <w:szCs w:val="18"/>
          <w:color w:val="auto"/>
        </w:rPr>
        <w:t>. The parties hereto have participated jointly in the negotiation and drafting of this Agreement. In the event an</w:t>
      </w:r>
      <w:r>
        <w:rPr>
          <w:rFonts w:ascii="Arial" w:cs="Arial" w:eastAsia="Arial" w:hAnsi="Arial"/>
          <w:sz w:val="18"/>
          <w:szCs w:val="18"/>
          <w:b w:val="1"/>
          <w:bCs w:val="1"/>
          <w:color w:val="auto"/>
        </w:rPr>
        <w:t xml:space="preserve"> </w:t>
      </w:r>
      <w:r>
        <w:rPr>
          <w:rFonts w:ascii="Arial" w:cs="Arial" w:eastAsia="Arial" w:hAnsi="Arial"/>
          <w:sz w:val="18"/>
          <w:szCs w:val="18"/>
          <w:color w:val="auto"/>
        </w:rPr>
        <w:t>ambiguity or question of intent or 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66" w:name="page267"/>
    <w:bookmarkEnd w:id="2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executed and delivered as a sealed instrument as of the date first above written.</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DEFINITIVE HEALTIICARE,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Jason Krantz</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54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6"/>
          <w:szCs w:val="16"/>
          <w:color w:val="auto"/>
        </w:rPr>
        <w:t>David Samuels</w:t>
      </w:r>
    </w:p>
    <w:sectPr>
      <w:pgSz w:w="11900" w:h="16838" w:orient="portrait"/>
      <w:cols w:equalWidth="0" w:num="1">
        <w:col w:w="9520"/>
      </w:cols>
      <w:pgMar w:left="1420" w:top="27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1)"/>
      <w:numFmt w:val="decimal"/>
      <w:start w:val="1"/>
    </w:lvl>
  </w:abstractNum>
  <w:abstractNum w:abstractNumId="1">
    <w:nsid w:val="4BD8591A"/>
    <w:multiLevelType w:val="hybridMultilevel"/>
    <w:lvl w:ilvl="0">
      <w:lvlJc w:val="left"/>
      <w:lvlText w:val="(%1)"/>
      <w:numFmt w:val="decimal"/>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
      <w:numFmt w:val="bullet"/>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
      <w:numFmt w:val="bullet"/>
      <w:start w:val="1"/>
    </w:lvl>
  </w:abstractNum>
  <w:abstractNum w:abstractNumId="21">
    <w:nsid w:val="5915FF32"/>
    <w:multiLevelType w:val="hybridMultilevel"/>
    <w:lvl w:ilvl="0">
      <w:lvlJc w:val="left"/>
      <w:lvlText w:val="•"/>
      <w:numFmt w:val="bullet"/>
      <w:start w:val="1"/>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
      <w:numFmt w:val="bullet"/>
      <w:start w:val="1"/>
    </w:lvl>
  </w:abstractNum>
  <w:abstractNum w:abstractNumId="24">
    <w:nsid w:val="2C6E4AFD"/>
    <w:multiLevelType w:val="hybridMultilevel"/>
    <w:lvl w:ilvl="0">
      <w:lvlJc w:val="left"/>
      <w:lvlText w:val="•"/>
      <w:numFmt w:val="bullet"/>
      <w:start w:val="1"/>
    </w:lvl>
  </w:abstractNum>
  <w:abstractNum w:abstractNumId="25">
    <w:nsid w:val="17A1B582"/>
    <w:multiLevelType w:val="hybridMultilevel"/>
    <w:lvl w:ilvl="0">
      <w:lvlJc w:val="left"/>
      <w:lvlText w:val="•"/>
      <w:numFmt w:val="bullet"/>
      <w:start w:val="1"/>
    </w:lvl>
  </w:abstractNum>
  <w:abstractNum w:abstractNumId="26">
    <w:nsid w:val="4DF72E4E"/>
    <w:multiLevelType w:val="hybridMultilevel"/>
    <w:lvl w:ilvl="0">
      <w:lvlJc w:val="left"/>
      <w:lvlText w:val="•"/>
      <w:numFmt w:val="bullet"/>
      <w:start w:val="1"/>
    </w:lvl>
  </w:abstractNum>
  <w:abstractNum w:abstractNumId="27">
    <w:nsid w:val="5046B5A9"/>
    <w:multiLevelType w:val="hybridMultilevel"/>
    <w:lvl w:ilvl="0">
      <w:lvlJc w:val="left"/>
      <w:lvlText w:val="$"/>
      <w:numFmt w:val="bullet"/>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
      <w:numFmt w:val="bullet"/>
      <w:start w:val="1"/>
    </w:lvl>
  </w:abstractNum>
  <w:abstractNum w:abstractNumId="30">
    <w:nsid w:val="5EC6AFD4"/>
    <w:multiLevelType w:val="hybridMultilevel"/>
    <w:lvl w:ilvl="0">
      <w:lvlJc w:val="left"/>
      <w:lvlText w:val="$"/>
      <w:numFmt w:val="bullet"/>
      <w:start w:val="1"/>
    </w:lvl>
  </w:abstractNum>
  <w:abstractNum w:abstractNumId="31">
    <w:nsid w:val="19E21BB2"/>
    <w:multiLevelType w:val="hybridMultilevel"/>
    <w:lvl w:ilvl="0">
      <w:lvlJc w:val="left"/>
      <w:lvlText w:val="•"/>
      <w:numFmt w:val="bullet"/>
      <w:start w:val="1"/>
    </w:lvl>
  </w:abstractNum>
  <w:abstractNum w:abstractNumId="32">
    <w:nsid w:val="75E0858A"/>
    <w:multiLevelType w:val="hybridMultilevel"/>
    <w:lvl w:ilvl="0">
      <w:lvlJc w:val="left"/>
      <w:lvlText w:val="•"/>
      <w:numFmt w:val="bullet"/>
      <w:start w:val="1"/>
    </w:lvl>
  </w:abstractNum>
  <w:abstractNum w:abstractNumId="33">
    <w:nsid w:val="57A61A29"/>
    <w:multiLevelType w:val="hybridMultilevel"/>
    <w:lvl w:ilvl="0">
      <w:lvlJc w:val="left"/>
      <w:lvlText w:val="•"/>
      <w:numFmt w:val="bullet"/>
      <w:start w:val="1"/>
    </w:lvl>
  </w:abstractNum>
  <w:abstractNum w:abstractNumId="34">
    <w:nsid w:val="5399C654"/>
    <w:multiLevelType w:val="hybridMultilevel"/>
    <w:lvl w:ilvl="0">
      <w:lvlJc w:val="left"/>
      <w:lvlText w:val="(%1)"/>
      <w:numFmt w:val="decimal"/>
      <w:start w:val="1"/>
    </w:lvl>
  </w:abstractNum>
  <w:abstractNum w:abstractNumId="35">
    <w:nsid w:val="20EE1348"/>
    <w:multiLevelType w:val="hybridMultilevel"/>
    <w:lvl w:ilvl="0">
      <w:lvlJc w:val="left"/>
      <w:lvlText w:val="(%1)"/>
      <w:numFmt w:val="decimal"/>
      <w:start w:val="1"/>
    </w:lvl>
  </w:abstractNum>
  <w:abstractNum w:abstractNumId="36">
    <w:nsid w:val="4427069A"/>
    <w:multiLevelType w:val="hybridMultilevel"/>
    <w:lvl w:ilvl="0">
      <w:lvlJc w:val="left"/>
      <w:lvlText w:val="(%1)"/>
      <w:numFmt w:val="decimal"/>
      <w:start w:val="6"/>
    </w:lvl>
  </w:abstractNum>
  <w:abstractNum w:abstractNumId="37">
    <w:nsid w:val="B37E80A"/>
    <w:multiLevelType w:val="hybridMultilevel"/>
    <w:lvl w:ilvl="0">
      <w:lvlJc w:val="left"/>
      <w:lvlText w:val="(%1)"/>
      <w:numFmt w:val="lowerLetter"/>
      <w:start w:val="1"/>
    </w:lvl>
  </w:abstractNum>
  <w:abstractNum w:abstractNumId="38">
    <w:nsid w:val="2157F6BC"/>
    <w:multiLevelType w:val="hybridMultilevel"/>
    <w:lvl w:ilvl="0">
      <w:lvlJc w:val="left"/>
      <w:lvlText w:val="(%1)"/>
      <w:numFmt w:val="lowerLetter"/>
      <w:start w:val="1"/>
    </w:lvl>
  </w:abstractNum>
  <w:abstractNum w:abstractNumId="39">
    <w:nsid w:val="704E1DD5"/>
    <w:multiLevelType w:val="hybridMultilevel"/>
    <w:lvl w:ilvl="0">
      <w:lvlJc w:val="left"/>
      <w:lvlText w:val="(%1)"/>
      <w:numFmt w:val="lowerLetter"/>
      <w:start w:val="1"/>
    </w:lvl>
  </w:abstractNum>
  <w:abstractNum w:abstractNumId="40">
    <w:nsid w:val="57D2F10E"/>
    <w:multiLevelType w:val="hybridMultilevel"/>
    <w:lvl w:ilvl="0">
      <w:lvlJc w:val="left"/>
      <w:lvlText w:val="•"/>
      <w:numFmt w:val="bullet"/>
      <w:start w:val="1"/>
    </w:lvl>
  </w:abstractNum>
  <w:abstractNum w:abstractNumId="41">
    <w:nsid w:val="BFFAE18"/>
    <w:multiLevelType w:val="hybridMultilevel"/>
    <w:lvl w:ilvl="0">
      <w:lvlJc w:val="left"/>
      <w:lvlText w:val="•"/>
      <w:numFmt w:val="bullet"/>
      <w:start w:val="1"/>
    </w:lvl>
  </w:abstractNum>
  <w:abstractNum w:abstractNumId="42">
    <w:nsid w:val="E3E47A8"/>
    <w:multiLevelType w:val="hybridMultilevel"/>
    <w:lvl w:ilvl="0">
      <w:lvlJc w:val="left"/>
      <w:lvlText w:val="•"/>
      <w:numFmt w:val="bullet"/>
      <w:start w:val="1"/>
    </w:lvl>
  </w:abstractNum>
  <w:abstractNum w:abstractNumId="43">
    <w:nsid w:val="2E48F044"/>
    <w:multiLevelType w:val="hybridMultilevel"/>
    <w:lvl w:ilvl="0">
      <w:lvlJc w:val="left"/>
      <w:lvlText w:val="•"/>
      <w:numFmt w:val="bullet"/>
      <w:start w:val="1"/>
    </w:lvl>
  </w:abstractNum>
  <w:abstractNum w:abstractNumId="44">
    <w:nsid w:val="49D0FEAC"/>
    <w:multiLevelType w:val="hybridMultilevel"/>
    <w:lvl w:ilvl="0">
      <w:lvlJc w:val="left"/>
      <w:lvlText w:val="•"/>
      <w:numFmt w:val="bullet"/>
      <w:start w:val="1"/>
    </w:lvl>
  </w:abstractNum>
  <w:abstractNum w:abstractNumId="45">
    <w:nsid w:val="4BEE5A5B"/>
    <w:multiLevelType w:val="hybridMultilevel"/>
    <w:lvl w:ilvl="0">
      <w:lvlJc w:val="left"/>
      <w:lvlText w:val="•"/>
      <w:numFmt w:val="bullet"/>
      <w:start w:val="1"/>
    </w:lvl>
  </w:abstractNum>
  <w:abstractNum w:abstractNumId="46">
    <w:nsid w:val="5551B9F3"/>
    <w:multiLevelType w:val="hybridMultilevel"/>
    <w:lvl w:ilvl="0">
      <w:lvlJc w:val="left"/>
      <w:lvlText w:val="•"/>
      <w:numFmt w:val="bullet"/>
      <w:start w:val="1"/>
    </w:lvl>
  </w:abstractNum>
  <w:abstractNum w:abstractNumId="47">
    <w:nsid w:val="24F6AB8E"/>
    <w:multiLevelType w:val="hybridMultilevel"/>
    <w:lvl w:ilvl="0">
      <w:lvlJc w:val="left"/>
      <w:lvlText w:val="•"/>
      <w:numFmt w:val="bullet"/>
      <w:start w:val="1"/>
    </w:lvl>
  </w:abstractNum>
  <w:abstractNum w:abstractNumId="48">
    <w:nsid w:val="634C574C"/>
    <w:multiLevelType w:val="hybridMultilevel"/>
    <w:lvl w:ilvl="0">
      <w:lvlJc w:val="left"/>
      <w:lvlText w:val="•"/>
      <w:numFmt w:val="bullet"/>
      <w:start w:val="1"/>
    </w:lvl>
  </w:abstractNum>
  <w:abstractNum w:abstractNumId="49">
    <w:nsid w:val="24E99DD7"/>
    <w:multiLevelType w:val="hybridMultilevel"/>
    <w:lvl w:ilvl="0">
      <w:lvlJc w:val="left"/>
      <w:lvlText w:val="(%1)"/>
      <w:numFmt w:val="lowerRoman"/>
      <w:start w:val="2"/>
    </w:lvl>
  </w:abstractNum>
  <w:abstractNum w:abstractNumId="50">
    <w:nsid w:val="2A31B62D"/>
    <w:multiLevelType w:val="hybridMultilevel"/>
    <w:lvl w:ilvl="0">
      <w:lvlJc w:val="left"/>
      <w:lvlText w:val="(%1)"/>
      <w:numFmt w:val="lowerRoman"/>
      <w:start w:val="3"/>
    </w:lvl>
  </w:abstractNum>
  <w:abstractNum w:abstractNumId="51">
    <w:nsid w:val="1849C29B"/>
    <w:multiLevelType w:val="hybridMultilevel"/>
    <w:lvl w:ilvl="0">
      <w:lvlJc w:val="left"/>
      <w:lvlText w:val="•"/>
      <w:numFmt w:val="bullet"/>
      <w:start w:val="1"/>
    </w:lvl>
  </w:abstractNum>
  <w:abstractNum w:abstractNumId="52">
    <w:nsid w:val="7DFF9D09"/>
    <w:multiLevelType w:val="hybridMultilevel"/>
    <w:lvl w:ilvl="0">
      <w:lvlJc w:val="left"/>
      <w:lvlText w:val="•"/>
      <w:numFmt w:val="bullet"/>
      <w:start w:val="1"/>
    </w:lvl>
  </w:abstractNum>
  <w:abstractNum w:abstractNumId="53">
    <w:nsid w:val="754342"/>
    <w:multiLevelType w:val="hybridMultilevel"/>
    <w:lvl w:ilvl="0">
      <w:lvlJc w:val="left"/>
      <w:lvlText w:val="•"/>
      <w:numFmt w:val="bullet"/>
      <w:start w:val="1"/>
    </w:lvl>
  </w:abstractNum>
  <w:abstractNum w:abstractNumId="54">
    <w:nsid w:val="69E7F3E5"/>
    <w:multiLevelType w:val="hybridMultilevel"/>
    <w:lvl w:ilvl="0">
      <w:lvlJc w:val="left"/>
      <w:lvlText w:val="•"/>
      <w:numFmt w:val="bullet"/>
      <w:start w:val="1"/>
    </w:lvl>
  </w:abstractNum>
  <w:abstractNum w:abstractNumId="55">
    <w:nsid w:val="2A6DE806"/>
    <w:multiLevelType w:val="hybridMultilevel"/>
    <w:lvl w:ilvl="0">
      <w:lvlJc w:val="left"/>
      <w:lvlText w:val="•"/>
      <w:numFmt w:val="bullet"/>
      <w:start w:val="1"/>
    </w:lvl>
  </w:abstractNum>
  <w:abstractNum w:abstractNumId="56">
    <w:nsid w:val="1816F8C4"/>
    <w:multiLevelType w:val="hybridMultilevel"/>
    <w:lvl w:ilvl="0">
      <w:lvlJc w:val="left"/>
      <w:lvlText w:val="$"/>
      <w:numFmt w:val="bullet"/>
      <w:start w:val="1"/>
    </w:lvl>
  </w:abstractNum>
  <w:abstractNum w:abstractNumId="57">
    <w:nsid w:val="37DF2233"/>
    <w:multiLevelType w:val="hybridMultilevel"/>
    <w:lvl w:ilvl="0">
      <w:lvlJc w:val="left"/>
      <w:lvlText w:val="•"/>
      <w:numFmt w:val="bullet"/>
      <w:start w:val="1"/>
    </w:lvl>
  </w:abstractNum>
  <w:abstractNum w:abstractNumId="58">
    <w:nsid w:val="7AB49DAF"/>
    <w:multiLevelType w:val="hybridMultilevel"/>
    <w:lvl w:ilvl="0">
      <w:lvlJc w:val="left"/>
      <w:lvlText w:val="$"/>
      <w:numFmt w:val="bullet"/>
      <w:start w:val="1"/>
    </w:lvl>
  </w:abstractNum>
  <w:abstractNum w:abstractNumId="59">
    <w:nsid w:val="759F82CD"/>
    <w:multiLevelType w:val="hybridMultilevel"/>
    <w:lvl w:ilvl="0">
      <w:lvlJc w:val="left"/>
      <w:lvlText w:val="(%1)"/>
      <w:numFmt w:val="decimal"/>
      <w:start w:val="1"/>
    </w:lvl>
  </w:abstractNum>
  <w:abstractNum w:abstractNumId="60">
    <w:nsid w:val="61E74EA3"/>
    <w:multiLevelType w:val="hybridMultilevel"/>
    <w:lvl w:ilvl="0">
      <w:lvlJc w:val="left"/>
      <w:lvlText w:val="(%1)"/>
      <w:numFmt w:val="decimal"/>
      <w:start w:val="2"/>
    </w:lvl>
  </w:abstractNum>
  <w:abstractNum w:abstractNumId="61">
    <w:nsid w:val="597B4D84"/>
    <w:multiLevelType w:val="hybridMultilevel"/>
    <w:lvl w:ilvl="0">
      <w:lvlJc w:val="left"/>
      <w:lvlText w:val="•"/>
      <w:numFmt w:val="bullet"/>
      <w:start w:val="1"/>
    </w:lvl>
  </w:abstractNum>
  <w:abstractNum w:abstractNumId="62">
    <w:nsid w:val="F819E7F"/>
    <w:multiLevelType w:val="hybridMultilevel"/>
    <w:lvl w:ilvl="0">
      <w:lvlJc w:val="left"/>
      <w:lvlText w:val="•"/>
      <w:numFmt w:val="bullet"/>
      <w:start w:val="1"/>
    </w:lvl>
  </w:abstractNum>
  <w:abstractNum w:abstractNumId="63">
    <w:nsid w:val="57C7D42D"/>
    <w:multiLevelType w:val="hybridMultilevel"/>
    <w:lvl w:ilvl="0">
      <w:lvlJc w:val="left"/>
      <w:lvlText w:val="•"/>
      <w:numFmt w:val="bullet"/>
      <w:start w:val="1"/>
    </w:lvl>
  </w:abstractNum>
  <w:abstractNum w:abstractNumId="64">
    <w:nsid w:val="312167AD"/>
    <w:multiLevelType w:val="hybridMultilevel"/>
    <w:lvl w:ilvl="0">
      <w:lvlJc w:val="left"/>
      <w:lvlText w:val="(%1)"/>
      <w:numFmt w:val="decimal"/>
      <w:start w:val="1"/>
    </w:lvl>
  </w:abstractNum>
  <w:abstractNum w:abstractNumId="65">
    <w:nsid w:val="631B64D4"/>
    <w:multiLevelType w:val="hybridMultilevel"/>
    <w:lvl w:ilvl="0">
      <w:lvlJc w:val="left"/>
      <w:lvlText w:val="(%1)"/>
      <w:numFmt w:val="decimal"/>
      <w:start w:val="2"/>
    </w:lvl>
  </w:abstractNum>
  <w:abstractNum w:abstractNumId="66">
    <w:nsid w:val="78B5E776"/>
    <w:multiLevelType w:val="hybridMultilevel"/>
    <w:lvl w:ilvl="0">
      <w:lvlJc w:val="left"/>
      <w:lvlText w:val="(%1)"/>
      <w:numFmt w:val="decimal"/>
      <w:start w:val="3"/>
    </w:lvl>
  </w:abstractNum>
  <w:abstractNum w:abstractNumId="67">
    <w:nsid w:val="75486E47"/>
    <w:multiLevelType w:val="hybridMultilevel"/>
    <w:lvl w:ilvl="0">
      <w:lvlJc w:val="left"/>
      <w:lvlText w:val="(%1)"/>
      <w:numFmt w:val="decimal"/>
      <w:start w:val="5"/>
    </w:lvl>
  </w:abstractNum>
  <w:abstractNum w:abstractNumId="68">
    <w:nsid w:val="6E534CDE"/>
    <w:multiLevelType w:val="hybridMultilevel"/>
    <w:lvl w:ilvl="0">
      <w:lvlJc w:val="left"/>
      <w:lvlText w:val="(%1)"/>
      <w:numFmt w:val="decimal"/>
      <w:start w:val="2"/>
    </w:lvl>
  </w:abstractNum>
  <w:abstractNum w:abstractNumId="69">
    <w:nsid w:val="1A0DDE32"/>
    <w:multiLevelType w:val="hybridMultilevel"/>
    <w:lvl w:ilvl="0">
      <w:lvlJc w:val="left"/>
      <w:lvlText w:val="(%1)"/>
      <w:numFmt w:val="decimal"/>
      <w:start w:val="3"/>
    </w:lvl>
  </w:abstractNum>
  <w:abstractNum w:abstractNumId="70">
    <w:nsid w:val="65968C1C"/>
    <w:multiLevelType w:val="hybridMultilevel"/>
    <w:lvl w:ilvl="0">
      <w:lvlJc w:val="left"/>
      <w:lvlText w:val="(%1)"/>
      <w:numFmt w:val="decimal"/>
      <w:start w:val="5"/>
    </w:lvl>
  </w:abstractNum>
  <w:abstractNum w:abstractNumId="71">
    <w:nsid w:val="46263DEC"/>
    <w:multiLevelType w:val="hybridMultilevel"/>
    <w:lvl w:ilvl="0">
      <w:lvlJc w:val="left"/>
      <w:lvlText w:val="(%1)"/>
      <w:numFmt w:val="decimal"/>
      <w:start w:val="7"/>
    </w:lvl>
  </w:abstractNum>
  <w:abstractNum w:abstractNumId="72">
    <w:nsid w:val="260D8C4A"/>
    <w:multiLevelType w:val="hybridMultilevel"/>
    <w:lvl w:ilvl="0">
      <w:lvlJc w:val="left"/>
      <w:lvlText w:val="(%1)"/>
      <w:numFmt w:val="decimal"/>
      <w:start w:val="8"/>
    </w:lvl>
  </w:abstractNum>
  <w:abstractNum w:abstractNumId="73">
    <w:nsid w:val="73D4D3C4"/>
    <w:multiLevelType w:val="hybridMultilevel"/>
    <w:lvl w:ilvl="0">
      <w:lvlJc w:val="left"/>
      <w:lvlText w:val="•"/>
      <w:numFmt w:val="bullet"/>
      <w:start w:val="1"/>
    </w:lvl>
  </w:abstractNum>
  <w:abstractNum w:abstractNumId="74">
    <w:nsid w:val="746F2E30"/>
    <w:multiLevelType w:val="hybridMultilevel"/>
    <w:lvl w:ilvl="0">
      <w:lvlJc w:val="left"/>
      <w:lvlText w:val="(%1)"/>
      <w:numFmt w:val="lowerRoman"/>
      <w:start w:val="4"/>
    </w:lvl>
  </w:abstractNum>
  <w:abstractNum w:abstractNumId="75">
    <w:nsid w:val="6FDE8AF6"/>
    <w:multiLevelType w:val="hybridMultilevel"/>
    <w:lvl w:ilvl="0">
      <w:lvlJc w:val="left"/>
      <w:lvlText w:val="(%1)"/>
      <w:numFmt w:val="lowerLetter"/>
      <w:start w:val="1"/>
    </w:lvl>
  </w:abstractNum>
  <w:abstractNum w:abstractNumId="76">
    <w:nsid w:val="3FC32E20"/>
    <w:multiLevelType w:val="hybridMultilevel"/>
    <w:lvl w:ilvl="0">
      <w:lvlJc w:val="left"/>
      <w:lvlText w:val="•"/>
      <w:numFmt w:val="bullet"/>
      <w:start w:val="1"/>
    </w:lvl>
  </w:abstractNum>
  <w:abstractNum w:abstractNumId="77">
    <w:nsid w:val="49C0E823"/>
    <w:multiLevelType w:val="hybridMultilevel"/>
    <w:lvl w:ilvl="0">
      <w:lvlJc w:val="left"/>
      <w:lvlText w:val="•"/>
      <w:numFmt w:val="bullet"/>
      <w:start w:val="1"/>
    </w:lvl>
  </w:abstractNum>
  <w:abstractNum w:abstractNumId="78">
    <w:nsid w:val="14D53685"/>
    <w:multiLevelType w:val="hybridMultilevel"/>
    <w:lvl w:ilvl="0">
      <w:lvlJc w:val="left"/>
      <w:lvlText w:val="•"/>
      <w:numFmt w:val="bullet"/>
      <w:start w:val="1"/>
    </w:lvl>
  </w:abstractNum>
  <w:abstractNum w:abstractNumId="79">
    <w:nsid w:val="230F856C"/>
    <w:multiLevelType w:val="hybridMultilevel"/>
    <w:lvl w:ilvl="0">
      <w:lvlJc w:val="left"/>
      <w:lvlText w:val="•"/>
      <w:numFmt w:val="bullet"/>
      <w:start w:val="1"/>
    </w:lvl>
  </w:abstractNum>
  <w:abstractNum w:abstractNumId="80">
    <w:nsid w:val="6EAA85FB"/>
    <w:multiLevelType w:val="hybridMultilevel"/>
    <w:lvl w:ilvl="0">
      <w:lvlJc w:val="left"/>
      <w:lvlText w:val="(%1)"/>
      <w:numFmt w:val="decimal"/>
      <w:start w:val="1"/>
    </w:lvl>
  </w:abstractNum>
  <w:abstractNum w:abstractNumId="81">
    <w:nsid w:val="3F06ECB2"/>
    <w:multiLevelType w:val="hybridMultilevel"/>
    <w:lvl w:ilvl="0">
      <w:lvlJc w:val="left"/>
      <w:lvlText w:val="•"/>
      <w:numFmt w:val="bullet"/>
      <w:start w:val="1"/>
    </w:lvl>
  </w:abstractNum>
  <w:abstractNum w:abstractNumId="82">
    <w:nsid w:val="3B594807"/>
    <w:multiLevelType w:val="hybridMultilevel"/>
    <w:lvl w:ilvl="0">
      <w:lvlJc w:val="left"/>
      <w:lvlText w:val="•"/>
      <w:numFmt w:val="bullet"/>
      <w:start w:val="1"/>
    </w:lvl>
  </w:abstractNum>
  <w:abstractNum w:abstractNumId="83">
    <w:nsid w:val="6CAA2304"/>
    <w:multiLevelType w:val="hybridMultilevel"/>
    <w:lvl w:ilvl="0">
      <w:lvlJc w:val="left"/>
      <w:lvlText w:val="•"/>
      <w:numFmt w:val="bullet"/>
      <w:start w:val="1"/>
    </w:lvl>
  </w:abstractNum>
  <w:abstractNum w:abstractNumId="84">
    <w:nsid w:val="3F7C2FF4"/>
    <w:multiLevelType w:val="hybridMultilevel"/>
    <w:lvl w:ilvl="0">
      <w:lvlJc w:val="left"/>
      <w:lvlText w:val="•"/>
      <w:numFmt w:val="bullet"/>
      <w:start w:val="1"/>
    </w:lvl>
  </w:abstractNum>
  <w:abstractNum w:abstractNumId="85">
    <w:nsid w:val="25413BEC"/>
    <w:multiLevelType w:val="hybridMultilevel"/>
    <w:lvl w:ilvl="0">
      <w:lvlJc w:val="left"/>
      <w:lvlText w:val="•"/>
      <w:numFmt w:val="bullet"/>
      <w:start w:val="1"/>
    </w:lvl>
  </w:abstractNum>
  <w:abstractNum w:abstractNumId="86">
    <w:nsid w:val="17180B0B"/>
    <w:multiLevelType w:val="hybridMultilevel"/>
    <w:lvl w:ilvl="0">
      <w:lvlJc w:val="left"/>
      <w:lvlText w:val="•"/>
      <w:numFmt w:val="bullet"/>
      <w:start w:val="1"/>
    </w:lvl>
  </w:abstractNum>
  <w:abstractNum w:abstractNumId="87">
    <w:nsid w:val="579328B9"/>
    <w:multiLevelType w:val="hybridMultilevel"/>
    <w:lvl w:ilvl="0">
      <w:lvlJc w:val="left"/>
      <w:lvlText w:val="•"/>
      <w:numFmt w:val="bullet"/>
      <w:start w:val="1"/>
    </w:lvl>
  </w:abstractNum>
  <w:abstractNum w:abstractNumId="88">
    <w:nsid w:val="5D205E20"/>
    <w:multiLevelType w:val="hybridMultilevel"/>
    <w:lvl w:ilvl="0">
      <w:lvlJc w:val="left"/>
      <w:lvlText w:val="•"/>
      <w:numFmt w:val="bullet"/>
      <w:start w:val="1"/>
    </w:lvl>
  </w:abstractNum>
  <w:abstractNum w:abstractNumId="89">
    <w:nsid w:val="11CCA8BA"/>
    <w:multiLevelType w:val="hybridMultilevel"/>
    <w:lvl w:ilvl="0">
      <w:lvlJc w:val="left"/>
      <w:lvlText w:val="•"/>
      <w:numFmt w:val="bullet"/>
      <w:start w:val="1"/>
    </w:lvl>
  </w:abstractNum>
  <w:abstractNum w:abstractNumId="90">
    <w:nsid w:val="4D32AB86"/>
    <w:multiLevelType w:val="hybridMultilevel"/>
    <w:lvl w:ilvl="0">
      <w:lvlJc w:val="left"/>
      <w:lvlText w:val="•"/>
      <w:numFmt w:val="bullet"/>
      <w:start w:val="1"/>
    </w:lvl>
  </w:abstractNum>
  <w:abstractNum w:abstractNumId="91">
    <w:nsid w:val="3F07ACC3"/>
    <w:multiLevelType w:val="hybridMultilevel"/>
    <w:lvl w:ilvl="0">
      <w:lvlJc w:val="left"/>
      <w:lvlText w:val="•"/>
      <w:numFmt w:val="bullet"/>
      <w:start w:val="1"/>
    </w:lvl>
  </w:abstractNum>
  <w:abstractNum w:abstractNumId="92">
    <w:nsid w:val="6B47F63E"/>
    <w:multiLevelType w:val="hybridMultilevel"/>
    <w:lvl w:ilvl="0">
      <w:lvlJc w:val="left"/>
      <w:lvlText w:val="•"/>
      <w:numFmt w:val="bullet"/>
      <w:start w:val="1"/>
    </w:lvl>
  </w:abstractNum>
  <w:abstractNum w:abstractNumId="93">
    <w:nsid w:val="5CB44A05"/>
    <w:multiLevelType w:val="hybridMultilevel"/>
    <w:lvl w:ilvl="0">
      <w:lvlJc w:val="left"/>
      <w:lvlText w:val="•"/>
      <w:numFmt w:val="bullet"/>
      <w:start w:val="1"/>
    </w:lvl>
  </w:abstractNum>
  <w:abstractNum w:abstractNumId="94">
    <w:nsid w:val="16CF80F1"/>
    <w:multiLevelType w:val="hybridMultilevel"/>
    <w:lvl w:ilvl="0">
      <w:lvlJc w:val="left"/>
      <w:lvlText w:val="•"/>
      <w:numFmt w:val="bullet"/>
      <w:start w:val="1"/>
    </w:lvl>
  </w:abstractNum>
  <w:abstractNum w:abstractNumId="95">
    <w:nsid w:val="1C695DEC"/>
    <w:multiLevelType w:val="hybridMultilevel"/>
    <w:lvl w:ilvl="0">
      <w:lvlJc w:val="left"/>
      <w:lvlText w:val="•"/>
      <w:numFmt w:val="bullet"/>
      <w:start w:val="1"/>
    </w:lvl>
    <w:lvl w:ilvl="1">
      <w:lvlJc w:val="left"/>
      <w:lvlText w:val="•"/>
      <w:numFmt w:val="bullet"/>
      <w:start w:val="1"/>
    </w:lvl>
  </w:abstractNum>
  <w:abstractNum w:abstractNumId="96">
    <w:nsid w:val="3FCFAED9"/>
    <w:multiLevelType w:val="hybridMultilevel"/>
    <w:lvl w:ilvl="0">
      <w:lvlJc w:val="left"/>
      <w:lvlText w:val="•"/>
      <w:numFmt w:val="bullet"/>
      <w:start w:val="1"/>
    </w:lvl>
  </w:abstractNum>
  <w:abstractNum w:abstractNumId="97">
    <w:nsid w:val="F856867"/>
    <w:multiLevelType w:val="hybridMultilevel"/>
    <w:lvl w:ilvl="0">
      <w:lvlJc w:val="left"/>
      <w:lvlText w:val="•"/>
      <w:numFmt w:val="bullet"/>
      <w:start w:val="1"/>
    </w:lvl>
  </w:abstractNum>
  <w:abstractNum w:abstractNumId="98">
    <w:nsid w:val="11B1CC33"/>
    <w:multiLevelType w:val="hybridMultilevel"/>
    <w:lvl w:ilvl="0">
      <w:lvlJc w:val="left"/>
      <w:lvlText w:val="•"/>
      <w:numFmt w:val="bullet"/>
      <w:start w:val="1"/>
    </w:lvl>
    <w:lvl w:ilvl="1">
      <w:lvlJc w:val="left"/>
      <w:lvlText w:val="○"/>
      <w:numFmt w:val="bullet"/>
      <w:start w:val="1"/>
    </w:lvl>
  </w:abstractNum>
  <w:abstractNum w:abstractNumId="99">
    <w:nsid w:val="2E22FBB7"/>
    <w:multiLevelType w:val="hybridMultilevel"/>
    <w:lvl w:ilvl="0">
      <w:lvlJc w:val="left"/>
      <w:lvlText w:val="•"/>
      <w:numFmt w:val="bullet"/>
      <w:start w:val="1"/>
    </w:lvl>
    <w:lvl w:ilvl="1">
      <w:lvlJc w:val="left"/>
      <w:lvlText w:val="○"/>
      <w:numFmt w:val="bullet"/>
      <w:start w:val="1"/>
    </w:lvl>
  </w:abstractNum>
  <w:abstractNum w:abstractNumId="100">
    <w:nsid w:val="29934699"/>
    <w:multiLevelType w:val="hybridMultilevel"/>
    <w:lvl w:ilvl="0">
      <w:lvlJc w:val="left"/>
      <w:lvlText w:val="•"/>
      <w:numFmt w:val="bullet"/>
      <w:start w:val="1"/>
    </w:lvl>
    <w:lvl w:ilvl="1">
      <w:lvlJc w:val="left"/>
      <w:lvlText w:val="○"/>
      <w:numFmt w:val="bullet"/>
      <w:start w:val="1"/>
    </w:lvl>
  </w:abstractNum>
  <w:abstractNum w:abstractNumId="101">
    <w:nsid w:val="77485850"/>
    <w:multiLevelType w:val="hybridMultilevel"/>
    <w:lvl w:ilvl="0">
      <w:lvlJc w:val="left"/>
      <w:lvlText w:val="•"/>
      <w:numFmt w:val="bullet"/>
      <w:start w:val="1"/>
    </w:lvl>
    <w:lvl w:ilvl="1">
      <w:lvlJc w:val="left"/>
      <w:lvlText w:val="○"/>
      <w:numFmt w:val="bullet"/>
      <w:start w:val="1"/>
    </w:lvl>
  </w:abstractNum>
  <w:abstractNum w:abstractNumId="102">
    <w:nsid w:val="744939A3"/>
    <w:multiLevelType w:val="hybridMultilevel"/>
    <w:lvl w:ilvl="0">
      <w:lvlJc w:val="left"/>
      <w:lvlText w:val="•"/>
      <w:numFmt w:val="bullet"/>
      <w:start w:val="1"/>
    </w:lvl>
    <w:lvl w:ilvl="1">
      <w:lvlJc w:val="left"/>
      <w:lvlText w:val="○"/>
      <w:numFmt w:val="bullet"/>
      <w:start w:val="1"/>
    </w:lvl>
  </w:abstractNum>
  <w:abstractNum w:abstractNumId="103">
    <w:nsid w:val="4FA0D2E3"/>
    <w:multiLevelType w:val="hybridMultilevel"/>
    <w:lvl w:ilvl="0">
      <w:lvlJc w:val="left"/>
      <w:lvlText w:val="•"/>
      <w:numFmt w:val="bullet"/>
      <w:start w:val="1"/>
    </w:lvl>
    <w:lvl w:ilvl="1">
      <w:lvlJc w:val="left"/>
      <w:lvlText w:val="○"/>
      <w:numFmt w:val="bullet"/>
      <w:start w:val="1"/>
    </w:lvl>
  </w:abstractNum>
  <w:abstractNum w:abstractNumId="104">
    <w:nsid w:val="6B1D2C14"/>
    <w:multiLevelType w:val="hybridMultilevel"/>
    <w:lvl w:ilvl="0">
      <w:lvlJc w:val="left"/>
      <w:lvlText w:val="•"/>
      <w:numFmt w:val="bullet"/>
      <w:start w:val="1"/>
    </w:lvl>
  </w:abstractNum>
  <w:abstractNum w:abstractNumId="105">
    <w:nsid w:val="68B867D3"/>
    <w:multiLevelType w:val="hybridMultilevel"/>
    <w:lvl w:ilvl="0">
      <w:lvlJc w:val="left"/>
      <w:lvlText w:val="•"/>
      <w:numFmt w:val="bullet"/>
      <w:start w:val="1"/>
    </w:lvl>
  </w:abstractNum>
  <w:abstractNum w:abstractNumId="106">
    <w:nsid w:val="3F7F5DD9"/>
    <w:multiLevelType w:val="hybridMultilevel"/>
    <w:lvl w:ilvl="0">
      <w:lvlJc w:val="left"/>
      <w:lvlText w:val="•"/>
      <w:numFmt w:val="bullet"/>
      <w:start w:val="1"/>
    </w:lvl>
  </w:abstractNum>
  <w:abstractNum w:abstractNumId="107">
    <w:nsid w:val="2AE05A34"/>
    <w:multiLevelType w:val="hybridMultilevel"/>
    <w:lvl w:ilvl="0">
      <w:lvlJc w:val="left"/>
      <w:lvlText w:val="•"/>
      <w:numFmt w:val="bullet"/>
      <w:start w:val="1"/>
    </w:lvl>
  </w:abstractNum>
  <w:abstractNum w:abstractNumId="108">
    <w:nsid w:val="32794FF7"/>
    <w:multiLevelType w:val="hybridMultilevel"/>
    <w:lvl w:ilvl="0">
      <w:lvlJc w:val="left"/>
      <w:lvlText w:val="•"/>
      <w:numFmt w:val="bullet"/>
      <w:start w:val="1"/>
    </w:lvl>
  </w:abstractNum>
  <w:abstractNum w:abstractNumId="109">
    <w:nsid w:val="5454945E"/>
    <w:multiLevelType w:val="hybridMultilevel"/>
    <w:lvl w:ilvl="0">
      <w:lvlJc w:val="left"/>
      <w:lvlText w:val="•"/>
      <w:numFmt w:val="bullet"/>
      <w:start w:val="1"/>
    </w:lvl>
  </w:abstractNum>
  <w:abstractNum w:abstractNumId="110">
    <w:nsid w:val="4DEFDFA0"/>
    <w:multiLevelType w:val="hybridMultilevel"/>
    <w:lvl w:ilvl="0">
      <w:lvlJc w:val="left"/>
      <w:lvlText w:val="•"/>
      <w:numFmt w:val="bullet"/>
      <w:start w:val="1"/>
    </w:lvl>
  </w:abstractNum>
  <w:abstractNum w:abstractNumId="111">
    <w:nsid w:val="2123D5F2"/>
    <w:multiLevelType w:val="hybridMultilevel"/>
    <w:lvl w:ilvl="0">
      <w:lvlJc w:val="left"/>
      <w:lvlText w:val="•"/>
      <w:numFmt w:val="bullet"/>
      <w:start w:val="1"/>
    </w:lvl>
  </w:abstractNum>
  <w:abstractNum w:abstractNumId="112">
    <w:nsid w:val="135B8110"/>
    <w:multiLevelType w:val="hybridMultilevel"/>
    <w:lvl w:ilvl="0">
      <w:lvlJc w:val="left"/>
      <w:lvlText w:val="•"/>
      <w:numFmt w:val="bullet"/>
      <w:start w:val="1"/>
    </w:lvl>
  </w:abstractNum>
  <w:abstractNum w:abstractNumId="113">
    <w:nsid w:val="94927A8"/>
    <w:multiLevelType w:val="hybridMultilevel"/>
    <w:lvl w:ilvl="0">
      <w:lvlJc w:val="left"/>
      <w:lvlText w:val="•"/>
      <w:numFmt w:val="bullet"/>
      <w:start w:val="1"/>
    </w:lvl>
  </w:abstractNum>
  <w:abstractNum w:abstractNumId="114">
    <w:nsid w:val="DCDF8F6"/>
    <w:multiLevelType w:val="hybridMultilevel"/>
    <w:lvl w:ilvl="0">
      <w:lvlJc w:val="left"/>
      <w:lvlText w:val="(%1)"/>
      <w:numFmt w:val="decimal"/>
      <w:start w:val="1"/>
    </w:lvl>
  </w:abstractNum>
  <w:abstractNum w:abstractNumId="115">
    <w:nsid w:val="52D7B105"/>
    <w:multiLevelType w:val="hybridMultilevel"/>
    <w:lvl w:ilvl="0">
      <w:lvlJc w:val="left"/>
      <w:lvlText w:val="(%1)"/>
      <w:numFmt w:val="lowerRoman"/>
      <w:start w:val="2"/>
    </w:lvl>
  </w:abstractNum>
  <w:abstractNum w:abstractNumId="116">
    <w:nsid w:val="2E8A6394"/>
    <w:multiLevelType w:val="hybridMultilevel"/>
    <w:lvl w:ilvl="0">
      <w:lvlJc w:val="left"/>
      <w:lvlText w:val="(%1)"/>
      <w:numFmt w:val="decimal"/>
      <w:start w:val="1"/>
    </w:lvl>
  </w:abstractNum>
  <w:abstractNum w:abstractNumId="117">
    <w:nsid w:val="24E60401"/>
    <w:multiLevelType w:val="hybridMultilevel"/>
    <w:lvl w:ilvl="0">
      <w:lvlJc w:val="left"/>
      <w:lvlText w:val="•"/>
      <w:numFmt w:val="bullet"/>
      <w:start w:val="1"/>
    </w:lvl>
  </w:abstractNum>
  <w:abstractNum w:abstractNumId="118">
    <w:nsid w:val="2A6AD9BE"/>
    <w:multiLevelType w:val="hybridMultilevel"/>
    <w:lvl w:ilvl="0">
      <w:lvlJc w:val="left"/>
      <w:lvlText w:val="•"/>
      <w:numFmt w:val="bullet"/>
      <w:start w:val="1"/>
    </w:lvl>
  </w:abstractNum>
  <w:abstractNum w:abstractNumId="119">
    <w:nsid w:val="BAAC1B4"/>
    <w:multiLevelType w:val="hybridMultilevel"/>
    <w:lvl w:ilvl="0">
      <w:lvlJc w:val="left"/>
      <w:lvlText w:val="•"/>
      <w:numFmt w:val="bullet"/>
      <w:start w:val="1"/>
    </w:lvl>
  </w:abstractNum>
  <w:abstractNum w:abstractNumId="120">
    <w:nsid w:val="36B2ACBC"/>
    <w:multiLevelType w:val="hybridMultilevel"/>
    <w:lvl w:ilvl="0">
      <w:lvlJc w:val="left"/>
      <w:lvlText w:val="•"/>
      <w:numFmt w:val="bullet"/>
      <w:start w:val="1"/>
    </w:lvl>
  </w:abstractNum>
  <w:abstractNum w:abstractNumId="121">
    <w:nsid w:val="779D8544"/>
    <w:multiLevelType w:val="hybridMultilevel"/>
    <w:lvl w:ilvl="0">
      <w:lvlJc w:val="left"/>
      <w:lvlText w:val="•"/>
      <w:numFmt w:val="bullet"/>
      <w:start w:val="1"/>
    </w:lvl>
  </w:abstractNum>
  <w:abstractNum w:abstractNumId="122">
    <w:nsid w:val="4AB26E78"/>
    <w:multiLevelType w:val="hybridMultilevel"/>
    <w:lvl w:ilvl="0">
      <w:lvlJc w:val="left"/>
      <w:lvlText w:val="•"/>
      <w:numFmt w:val="bullet"/>
      <w:start w:val="1"/>
    </w:lvl>
  </w:abstractNum>
  <w:abstractNum w:abstractNumId="123">
    <w:nsid w:val="21FAA2FA"/>
    <w:multiLevelType w:val="hybridMultilevel"/>
    <w:lvl w:ilvl="0">
      <w:lvlJc w:val="left"/>
      <w:lvlText w:val="•"/>
      <w:numFmt w:val="bullet"/>
      <w:start w:val="1"/>
    </w:lvl>
  </w:abstractNum>
  <w:abstractNum w:abstractNumId="124">
    <w:nsid w:val="5451CF49"/>
    <w:multiLevelType w:val="hybridMultilevel"/>
    <w:lvl w:ilvl="0">
      <w:lvlJc w:val="left"/>
      <w:lvlText w:val="(%1)"/>
      <w:numFmt w:val="lowerRoman"/>
      <w:start w:val="1"/>
    </w:lvl>
  </w:abstractNum>
  <w:abstractNum w:abstractNumId="125">
    <w:nsid w:val="6181EF69"/>
    <w:multiLevelType w:val="hybridMultilevel"/>
    <w:lvl w:ilvl="0">
      <w:lvlJc w:val="left"/>
      <w:lvlText w:val="(%1)"/>
      <w:numFmt w:val="lowerRoman"/>
      <w:start w:val="1"/>
    </w:lvl>
  </w:abstractNum>
  <w:abstractNum w:abstractNumId="126">
    <w:nsid w:val="3E6400E6"/>
    <w:multiLevelType w:val="hybridMultilevel"/>
    <w:lvl w:ilvl="0">
      <w:lvlJc w:val="left"/>
      <w:lvlText w:val="%"/>
      <w:numFmt w:val="bullet"/>
      <w:start w:val="1"/>
    </w:lvl>
  </w:abstractNum>
  <w:abstractNum w:abstractNumId="127">
    <w:nsid w:val="14217E23"/>
    <w:multiLevelType w:val="hybridMultilevel"/>
    <w:lvl w:ilvl="0">
      <w:lvlJc w:val="left"/>
      <w:lvlText w:val="•"/>
      <w:numFmt w:val="bullet"/>
      <w:start w:val="1"/>
    </w:lvl>
  </w:abstractNum>
  <w:abstractNum w:abstractNumId="128">
    <w:nsid w:val="710757D0"/>
    <w:multiLevelType w:val="hybridMultilevel"/>
    <w:lvl w:ilvl="0">
      <w:lvlJc w:val="left"/>
      <w:lvlText w:val="•"/>
      <w:numFmt w:val="bullet"/>
      <w:start w:val="1"/>
    </w:lvl>
  </w:abstractNum>
  <w:abstractNum w:abstractNumId="129">
    <w:nsid w:val="5015CD1A"/>
    <w:multiLevelType w:val="hybridMultilevel"/>
    <w:lvl w:ilvl="0">
      <w:lvlJc w:val="left"/>
      <w:lvlText w:val="•"/>
      <w:numFmt w:val="bullet"/>
      <w:start w:val="1"/>
    </w:lvl>
  </w:abstractNum>
  <w:abstractNum w:abstractNumId="130">
    <w:nsid w:val="424479DA"/>
    <w:multiLevelType w:val="hybridMultilevel"/>
    <w:lvl w:ilvl="0">
      <w:lvlJc w:val="left"/>
      <w:lvlText w:val="•"/>
      <w:numFmt w:val="bullet"/>
      <w:start w:val="1"/>
    </w:lvl>
  </w:abstractNum>
  <w:abstractNum w:abstractNumId="131">
    <w:nsid w:val="1A9A9E69"/>
    <w:multiLevelType w:val="hybridMultilevel"/>
    <w:lvl w:ilvl="0">
      <w:lvlJc w:val="left"/>
      <w:lvlText w:val="%1)"/>
      <w:numFmt w:val="lowerLetter"/>
      <w:start w:val="1"/>
    </w:lvl>
  </w:abstractNum>
  <w:abstractNum w:abstractNumId="132">
    <w:nsid w:val="475E256A"/>
    <w:multiLevelType w:val="hybridMultilevel"/>
    <w:lvl w:ilvl="0">
      <w:lvlJc w:val="left"/>
      <w:lvlText w:val="%1)"/>
      <w:numFmt w:val="lowerLetter"/>
      <w:start w:val="1"/>
    </w:lvl>
  </w:abstractNum>
  <w:abstractNum w:abstractNumId="133">
    <w:nsid w:val="368DB37E"/>
    <w:multiLevelType w:val="hybridMultilevel"/>
    <w:lvl w:ilvl="0">
      <w:lvlJc w:val="left"/>
      <w:lvlText w:val="%1)"/>
      <w:numFmt w:val="lowerLetter"/>
      <w:start w:val="1"/>
    </w:lvl>
  </w:abstractNum>
  <w:abstractNum w:abstractNumId="134">
    <w:nsid w:val="6A3B714C"/>
    <w:multiLevelType w:val="hybridMultilevel"/>
    <w:lvl w:ilvl="0">
      <w:lvlJc w:val="left"/>
      <w:lvlText w:val="(%1)"/>
      <w:numFmt w:val="lowerRoman"/>
      <w:start w:val="3"/>
    </w:lvl>
  </w:abstractNum>
  <w:abstractNum w:abstractNumId="135">
    <w:nsid w:val="327B517E"/>
    <w:multiLevelType w:val="hybridMultilevel"/>
    <w:lvl w:ilvl="0">
      <w:lvlJc w:val="left"/>
      <w:lvlText w:val="(%1)"/>
      <w:numFmt w:val="lowerRoman"/>
      <w:start w:val="3"/>
    </w:lvl>
  </w:abstractNum>
  <w:abstractNum w:abstractNumId="136">
    <w:nsid w:val="1F461B51"/>
    <w:multiLevelType w:val="hybridMultilevel"/>
    <w:lvl w:ilvl="0">
      <w:lvlJc w:val="left"/>
      <w:lvlText w:val="(%1)"/>
      <w:numFmt w:val="lowerRoman"/>
      <w:start w:val="2"/>
    </w:lvl>
  </w:abstractNum>
  <w:abstractNum w:abstractNumId="137">
    <w:nsid w:val="29BACF25"/>
    <w:multiLevelType w:val="hybridMultilevel"/>
    <w:lvl w:ilvl="0">
      <w:lvlJc w:val="left"/>
      <w:lvlText w:val="%1)"/>
      <w:numFmt w:val="lowerLetter"/>
      <w:start w:val="1"/>
    </w:lvl>
  </w:abstractNum>
  <w:abstractNum w:abstractNumId="138">
    <w:nsid w:val="5D5BABB3"/>
    <w:multiLevelType w:val="hybridMultilevel"/>
    <w:lvl w:ilvl="0">
      <w:lvlJc w:val="left"/>
      <w:lvlText w:val="%1)"/>
      <w:numFmt w:val="lowerLetter"/>
      <w:start w:val="1"/>
    </w:lvl>
  </w:abstractNum>
  <w:abstractNum w:abstractNumId="139">
    <w:nsid w:val="51BF6B48"/>
    <w:multiLevelType w:val="hybridMultilevel"/>
    <w:lvl w:ilvl="0">
      <w:lvlJc w:val="left"/>
      <w:lvlText w:val="(%1)"/>
      <w:numFmt w:val="lowerRoman"/>
      <w:start w:val="4"/>
    </w:lvl>
  </w:abstractNum>
  <w:abstractNum w:abstractNumId="140">
    <w:nsid w:val="7E0F6384"/>
    <w:multiLevelType w:val="hybridMultilevel"/>
    <w:lvl w:ilvl="0">
      <w:lvlJc w:val="left"/>
      <w:lvlText w:val="%1)"/>
      <w:numFmt w:val="lowerLetter"/>
      <w:start w:val="2"/>
    </w:lvl>
  </w:abstractNum>
  <w:abstractNum w:abstractNumId="141">
    <w:nsid w:val="2B4B8B53"/>
    <w:multiLevelType w:val="hybridMultilevel"/>
    <w:lvl w:ilvl="0">
      <w:lvlJc w:val="left"/>
      <w:lvlText w:val="%1)"/>
      <w:numFmt w:val="lowerLetter"/>
      <w:start w:val="3"/>
    </w:lvl>
    <w:lvl w:ilvl="1">
      <w:lvlJc w:val="left"/>
      <w:lvlText w:val="%2)"/>
      <w:numFmt w:val="lowerRoman"/>
      <w:start w:val="1"/>
    </w:lvl>
  </w:abstractNum>
  <w:abstractNum w:abstractNumId="142">
    <w:nsid w:val="72E3413A"/>
    <w:multiLevelType w:val="hybridMultilevel"/>
    <w:lvl w:ilvl="0">
      <w:lvlJc w:val="left"/>
      <w:lvlText w:val="%1."/>
      <w:numFmt w:val="decimal"/>
      <w:start w:val="2"/>
    </w:lvl>
    <w:lvl w:ilvl="1">
      <w:lvlJc w:val="left"/>
      <w:lvlText w:val="%2)"/>
      <w:numFmt w:val="lowerLetter"/>
      <w:start w:val="1"/>
    </w:lvl>
  </w:abstractNum>
  <w:abstractNum w:abstractNumId="143">
    <w:nsid w:val="116AE494"/>
    <w:multiLevelType w:val="hybridMultilevel"/>
    <w:lvl w:ilvl="0">
      <w:lvlJc w:val="left"/>
      <w:lvlText w:val="%1."/>
      <w:numFmt w:val="decimal"/>
      <w:start w:val="1"/>
    </w:lvl>
  </w:abstractNum>
  <w:abstractNum w:abstractNumId="144">
    <w:nsid w:val="3494B2FB"/>
    <w:multiLevelType w:val="hybridMultilevel"/>
    <w:lvl w:ilvl="0">
      <w:lvlJc w:val="left"/>
      <w:lvlText w:val="%1."/>
      <w:numFmt w:val="decimal"/>
      <w:start w:val="2"/>
    </w:lvl>
  </w:abstractNum>
  <w:abstractNum w:abstractNumId="145">
    <w:nsid w:val="B13A31"/>
    <w:multiLevelType w:val="hybridMultilevel"/>
    <w:lvl w:ilvl="0">
      <w:lvlJc w:val="left"/>
      <w:lvlText w:val="%1."/>
      <w:numFmt w:val="decimal"/>
      <w:start w:val="3"/>
    </w:lvl>
  </w:abstractNum>
  <w:abstractNum w:abstractNumId="146">
    <w:nsid w:val="64429599"/>
    <w:multiLevelType w:val="hybridMultilevel"/>
    <w:lvl w:ilvl="0">
      <w:lvlJc w:val="left"/>
      <w:lvlText w:val="%1."/>
      <w:numFmt w:val="decimal"/>
      <w:start w:val="4"/>
    </w:lvl>
  </w:abstractNum>
  <w:abstractNum w:abstractNumId="147">
    <w:nsid w:val="631F1690"/>
    <w:multiLevelType w:val="hybridMultilevel"/>
    <w:lvl w:ilvl="0">
      <w:lvlJc w:val="left"/>
      <w:lvlText w:val="%1."/>
      <w:numFmt w:val="decimal"/>
      <w:start w:val="1"/>
    </w:lvl>
  </w:abstractNum>
  <w:abstractNum w:abstractNumId="148">
    <w:nsid w:val="25973E32"/>
    <w:multiLevelType w:val="hybridMultilevel"/>
    <w:lvl w:ilvl="0">
      <w:lvlJc w:val="left"/>
      <w:lvlText w:val="%1."/>
      <w:numFmt w:val="decimal"/>
      <w:start w:val="2"/>
    </w:lvl>
  </w:abstractNum>
  <w:abstractNum w:abstractNumId="149">
    <w:nsid w:val="EAD6F57"/>
    <w:multiLevelType w:val="hybridMultilevel"/>
    <w:lvl w:ilvl="0">
      <w:lvlJc w:val="left"/>
      <w:lvlText w:val="%1."/>
      <w:numFmt w:val="decimal"/>
      <w:start w:val="3"/>
    </w:lvl>
  </w:abstractNum>
  <w:abstractNum w:abstractNumId="150">
    <w:nsid w:val="6EC9D844"/>
    <w:multiLevelType w:val="hybridMultilevel"/>
    <w:lvl w:ilvl="0">
      <w:lvlJc w:val="left"/>
      <w:lvlText w:val="%1."/>
      <w:numFmt w:val="decimal"/>
      <w:start w:val="1"/>
    </w:lvl>
  </w:abstractNum>
  <w:abstractNum w:abstractNumId="151">
    <w:nsid w:val="5C49EAEE"/>
    <w:multiLevelType w:val="hybridMultilevel"/>
    <w:lvl w:ilvl="0">
      <w:lvlJc w:val="left"/>
      <w:lvlText w:val="%1."/>
      <w:numFmt w:val="decimal"/>
      <w:start w:val="2"/>
    </w:lvl>
  </w:abstractNum>
  <w:abstractNum w:abstractNumId="152">
    <w:nsid w:val="64AF49B"/>
    <w:multiLevelType w:val="hybridMultilevel"/>
    <w:lvl w:ilvl="0">
      <w:lvlJc w:val="left"/>
      <w:lvlText w:val="%1."/>
      <w:numFmt w:val="decimal"/>
      <w:start w:val="4"/>
    </w:lvl>
  </w:abstractNum>
  <w:abstractNum w:abstractNumId="153">
    <w:nsid w:val="397C46BC"/>
    <w:multiLevelType w:val="hybridMultilevel"/>
    <w:lvl w:ilvl="0">
      <w:lvlJc w:val="left"/>
      <w:lvlText w:val="1"/>
      <w:numFmt w:val="bullet"/>
      <w:start w:val="1"/>
    </w:lvl>
  </w:abstractNum>
  <w:abstractNum w:abstractNumId="154">
    <w:nsid w:val="7E448DE9"/>
    <w:multiLevelType w:val="hybridMultilevel"/>
    <w:lvl w:ilvl="0">
      <w:lvlJc w:val="left"/>
      <w:lvlText w:val="(%1)"/>
      <w:numFmt w:val="lowerLetter"/>
      <w:start w:val="1"/>
    </w:lvl>
  </w:abstractNum>
  <w:abstractNum w:abstractNumId="155">
    <w:nsid w:val="5A9CC3E5"/>
    <w:multiLevelType w:val="hybridMultilevel"/>
    <w:lvl w:ilvl="0">
      <w:lvlJc w:val="left"/>
      <w:lvlText w:val="%1."/>
      <w:numFmt w:val="decimal"/>
      <w:start w:val="5"/>
    </w:lvl>
  </w:abstractNum>
  <w:abstractNum w:abstractNumId="156">
    <w:nsid w:val="1AFE3625"/>
    <w:multiLevelType w:val="hybridMultilevel"/>
    <w:lvl w:ilvl="0">
      <w:lvlJc w:val="left"/>
      <w:lvlText w:val="%1."/>
      <w:numFmt w:val="decimal"/>
      <w:start w:val="6"/>
    </w:lvl>
  </w:abstractNum>
  <w:abstractNum w:abstractNumId="157">
    <w:nsid w:val="3CA88ECF"/>
    <w:multiLevelType w:val="hybridMultilevel"/>
    <w:lvl w:ilvl="0">
      <w:lvlJc w:val="left"/>
      <w:lvlText w:val="%1."/>
      <w:numFmt w:val="decimal"/>
      <w:start w:val="7"/>
    </w:lvl>
  </w:abstractNum>
  <w:abstractNum w:abstractNumId="158">
    <w:nsid w:val="6EBE4208"/>
    <w:multiLevelType w:val="hybridMultilevel"/>
    <w:lvl w:ilvl="0">
      <w:lvlJc w:val="left"/>
      <w:lvlText w:val="%1."/>
      <w:numFmt w:val="decimal"/>
      <w:start w:val="8"/>
    </w:lvl>
  </w:abstractNum>
  <w:abstractNum w:abstractNumId="159">
    <w:nsid w:val="C058DF5"/>
    <w:multiLevelType w:val="hybridMultilevel"/>
    <w:lvl w:ilvl="0">
      <w:lvlJc w:val="left"/>
      <w:lvlText w:val="%1."/>
      <w:numFmt w:val="decimal"/>
      <w:start w:val="9"/>
    </w:lvl>
  </w:abstractNum>
  <w:abstractNum w:abstractNumId="160">
    <w:nsid w:val="CBE5BE9"/>
    <w:multiLevelType w:val="hybridMultilevel"/>
    <w:lvl w:ilvl="0">
      <w:lvlJc w:val="left"/>
      <w:lvlText w:val="%1."/>
      <w:numFmt w:val="decimal"/>
      <w:start w:val="10"/>
    </w:lvl>
  </w:abstractNum>
  <w:abstractNum w:abstractNumId="161">
    <w:nsid w:val="3102BBE2"/>
    <w:multiLevelType w:val="hybridMultilevel"/>
    <w:lvl w:ilvl="0">
      <w:lvlJc w:val="left"/>
      <w:lvlText w:val="%1."/>
      <w:numFmt w:val="decimal"/>
      <w:start w:val="11"/>
    </w:lvl>
  </w:abstractNum>
  <w:abstractNum w:abstractNumId="162">
    <w:nsid w:val="26A02C5E"/>
    <w:multiLevelType w:val="hybridMultilevel"/>
    <w:lvl w:ilvl="0">
      <w:lvlJc w:val="left"/>
      <w:lvlText w:val="%1."/>
      <w:numFmt w:val="decimal"/>
      <w:start w:val="12"/>
    </w:lvl>
  </w:abstractNum>
  <w:abstractNum w:abstractNumId="163">
    <w:nsid w:val="541C8153"/>
    <w:multiLevelType w:val="hybridMultilevel"/>
    <w:lvl w:ilvl="0">
      <w:lvlJc w:val="left"/>
      <w:lvlText w:val="%1."/>
      <w:numFmt w:val="decimal"/>
      <w:start w:val="13"/>
    </w:lvl>
  </w:abstractNum>
  <w:abstractNum w:abstractNumId="164">
    <w:nsid w:val="67906F60"/>
    <w:multiLevelType w:val="hybridMultilevel"/>
    <w:lvl w:ilvl="0">
      <w:lvlJc w:val="left"/>
      <w:lvlText w:val="%1."/>
      <w:numFmt w:val="decimal"/>
      <w:start w:val="14"/>
    </w:lvl>
  </w:abstractNum>
  <w:abstractNum w:abstractNumId="165">
    <w:nsid w:val="10DB9DAA"/>
    <w:multiLevelType w:val="hybridMultilevel"/>
    <w:lvl w:ilvl="0">
      <w:lvlJc w:val="left"/>
      <w:lvlText w:val="%1."/>
      <w:numFmt w:val="decimal"/>
      <w:start w:val="15"/>
    </w:lvl>
  </w:abstractNum>
  <w:abstractNum w:abstractNumId="166">
    <w:nsid w:val="697D2D2"/>
    <w:multiLevelType w:val="hybridMultilevel"/>
    <w:lvl w:ilvl="0">
      <w:lvlJc w:val="left"/>
      <w:lvlText w:val="%1."/>
      <w:numFmt w:val="decimal"/>
      <w:start w:val="16"/>
    </w:lvl>
  </w:abstractNum>
  <w:abstractNum w:abstractNumId="167">
    <w:nsid w:val="6D68AB2"/>
    <w:multiLevelType w:val="hybridMultilevel"/>
    <w:lvl w:ilvl="0">
      <w:lvlJc w:val="left"/>
      <w:lvlText w:val="%1."/>
      <w:numFmt w:val="decimal"/>
      <w:start w:val="17"/>
    </w:lvl>
  </w:abstractNum>
  <w:abstractNum w:abstractNumId="168">
    <w:nsid w:val="3A966CD0"/>
    <w:multiLevelType w:val="hybridMultilevel"/>
    <w:lvl w:ilvl="0">
      <w:lvlJc w:val="left"/>
      <w:lvlText w:val="%1."/>
      <w:numFmt w:val="decimal"/>
      <w:start w:val="18"/>
    </w:lvl>
  </w:abstractNum>
  <w:abstractNum w:abstractNumId="169">
    <w:nsid w:val="63F37E85"/>
    <w:multiLevelType w:val="hybridMultilevel"/>
    <w:lvl w:ilvl="0">
      <w:lvlJc w:val="left"/>
      <w:lvlText w:val="%1."/>
      <w:numFmt w:val="decimal"/>
      <w:start w:val="19"/>
    </w:lvl>
  </w:abstractNum>
  <w:abstractNum w:abstractNumId="170">
    <w:nsid w:val="5895F5FA"/>
    <w:multiLevelType w:val="hybridMultilevel"/>
    <w:lvl w:ilvl="0">
      <w:lvlJc w:val="left"/>
      <w:lvlText w:val="•"/>
      <w:numFmt w:val="bullet"/>
      <w:start w:val="1"/>
    </w:lvl>
  </w:abstractNum>
  <w:abstractNum w:abstractNumId="171">
    <w:nsid w:val="38A5D054"/>
    <w:multiLevelType w:val="hybridMultilevel"/>
    <w:lvl w:ilvl="0">
      <w:lvlJc w:val="left"/>
      <w:lvlText w:val="(%1)"/>
      <w:numFmt w:val="lowerLetter"/>
      <w:start w:val="2"/>
    </w:lvl>
  </w:abstractNum>
  <w:abstractNum w:abstractNumId="172">
    <w:nsid w:val="F3F09D8"/>
    <w:multiLevelType w:val="hybridMultilevel"/>
    <w:lvl w:ilvl="0">
      <w:lvlJc w:val="left"/>
      <w:lvlText w:val="(%1)"/>
      <w:numFmt w:val="decimal"/>
      <w:start w:val="1"/>
    </w:lvl>
  </w:abstractNum>
  <w:abstractNum w:abstractNumId="173">
    <w:nsid w:val="4B793735"/>
    <w:multiLevelType w:val="hybridMultilevel"/>
    <w:lvl w:ilvl="0">
      <w:lvlJc w:val="left"/>
      <w:lvlText w:val="%1."/>
      <w:numFmt w:val="decimal"/>
      <w:start w:val="1"/>
    </w:lvl>
    <w:lvl w:ilvl="1">
      <w:lvlJc w:val="left"/>
      <w:lvlText w:val="(%2)"/>
      <w:numFmt w:val="lowerLetter"/>
      <w:start w:val="1"/>
    </w:lvl>
  </w:abstractNum>
  <w:abstractNum w:abstractNumId="174">
    <w:nsid w:val="4A10B4E8"/>
    <w:multiLevelType w:val="hybridMultilevel"/>
    <w:lvl w:ilvl="0">
      <w:lvlJc w:val="left"/>
      <w:lvlText w:val="%1"/>
      <w:numFmt w:val="decimal"/>
      <w:start w:val="1"/>
    </w:lvl>
    <w:lvl w:ilvl="1">
      <w:lvlJc w:val="left"/>
      <w:lvlText w:val="(%2)"/>
      <w:numFmt w:val="lowerLetter"/>
      <w:start w:val="3"/>
    </w:lvl>
  </w:abstractNum>
  <w:abstractNum w:abstractNumId="175">
    <w:nsid w:val="43D3BCD4"/>
    <w:multiLevelType w:val="hybridMultilevel"/>
    <w:lvl w:ilvl="0">
      <w:lvlJc w:val="left"/>
      <w:lvlText w:val="%1."/>
      <w:numFmt w:val="decimal"/>
      <w:start w:val="4"/>
    </w:lvl>
    <w:lvl w:ilvl="1">
      <w:lvlJc w:val="left"/>
      <w:lvlText w:val="(%2)"/>
      <w:numFmt w:val="lowerLetter"/>
      <w:start w:val="1"/>
    </w:lvl>
  </w:abstractNum>
  <w:abstractNum w:abstractNumId="176">
    <w:nsid w:val="4C2A7166"/>
    <w:multiLevelType w:val="hybridMultilevel"/>
    <w:lvl w:ilvl="0">
      <w:lvlJc w:val="left"/>
      <w:lvlText w:val="%1"/>
      <w:numFmt w:val="decimal"/>
      <w:start w:val="1"/>
    </w:lvl>
    <w:lvl w:ilvl="1">
      <w:lvlJc w:val="left"/>
      <w:lvlText w:val="(%2)"/>
      <w:numFmt w:val="lowerLetter"/>
      <w:start w:val="3"/>
    </w:lvl>
  </w:abstractNum>
  <w:abstractNum w:abstractNumId="177">
    <w:nsid w:val="2E534A82"/>
    <w:multiLevelType w:val="hybridMultilevel"/>
    <w:lvl w:ilvl="0">
      <w:lvlJc w:val="left"/>
      <w:lvlText w:val="%1."/>
      <w:numFmt w:val="decimal"/>
      <w:start w:val="5"/>
    </w:lvl>
    <w:lvl w:ilvl="1">
      <w:lvlJc w:val="left"/>
      <w:lvlText w:val="(%2)"/>
      <w:numFmt w:val="lowerLetter"/>
      <w:start w:val="1"/>
    </w:lvl>
  </w:abstractNum>
  <w:abstractNum w:abstractNumId="178">
    <w:nsid w:val="26F2D364"/>
    <w:multiLevelType w:val="hybridMultilevel"/>
    <w:lvl w:ilvl="0">
      <w:lvlJc w:val="left"/>
      <w:lvlText w:val="(%1)"/>
      <w:numFmt w:val="lowerLetter"/>
      <w:start w:val="2"/>
    </w:lvl>
  </w:abstractNum>
  <w:abstractNum w:abstractNumId="179">
    <w:nsid w:val="71C1AF98"/>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80">
    <w:nsid w:val="3D00B9D9"/>
    <w:multiLevelType w:val="hybridMultilevel"/>
    <w:lvl w:ilvl="0">
      <w:lvlJc w:val="left"/>
      <w:lvlText w:val="(%1)"/>
      <w:numFmt w:val="lowerLetter"/>
      <w:start w:val="24"/>
    </w:lvl>
    <w:lvl w:ilvl="1">
      <w:lvlJc w:val="left"/>
      <w:lvlText w:val="%2."/>
      <w:numFmt w:val="decimal"/>
      <w:start w:val="6"/>
    </w:lvl>
    <w:lvl w:ilvl="2">
      <w:lvlJc w:val="left"/>
      <w:lvlText w:val="(%3)"/>
      <w:numFmt w:val="lowerLetter"/>
      <w:start w:val="2"/>
    </w:lvl>
  </w:abstractNum>
  <w:abstractNum w:abstractNumId="181">
    <w:nsid w:val="15BCABA8"/>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82">
    <w:nsid w:val="4E0B9A8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83">
    <w:nsid w:val="434BAE75"/>
    <w:multiLevelType w:val="hybridMultilevel"/>
    <w:lvl w:ilvl="0">
      <w:lvlJc w:val="left"/>
      <w:lvlText w:val="(%1)"/>
      <w:numFmt w:val="lowerLetter"/>
      <w:start w:val="3"/>
    </w:lvl>
  </w:abstractNum>
  <w:abstractNum w:abstractNumId="184">
    <w:nsid w:val="4F38F265"/>
    <w:multiLevelType w:val="hybridMultilevel"/>
    <w:lvl w:ilvl="0">
      <w:lvlJc w:val="left"/>
      <w:lvlText w:val="(%1)"/>
      <w:numFmt w:val="lowerLetter"/>
      <w:start w:val="4"/>
    </w:lvl>
  </w:abstractNum>
  <w:abstractNum w:abstractNumId="185">
    <w:nsid w:val="4C502870"/>
    <w:multiLevelType w:val="hybridMultilevel"/>
    <w:lvl w:ilvl="0">
      <w:lvlJc w:val="left"/>
      <w:lvlText w:val="(%1)"/>
      <w:numFmt w:val="lowerRoman"/>
      <w:start w:val="1"/>
    </w:lvl>
  </w:abstractNum>
  <w:abstractNum w:abstractNumId="186">
    <w:nsid w:val="1DE8725A"/>
    <w:multiLevelType w:val="hybridMultilevel"/>
    <w:lvl w:ilvl="0">
      <w:lvlJc w:val="left"/>
      <w:lvlText w:val="%1."/>
      <w:numFmt w:val="decimal"/>
      <w:start w:val="11"/>
    </w:lvl>
  </w:abstractNum>
  <w:abstractNum w:abstractNumId="187">
    <w:nsid w:val="6A37288A"/>
    <w:multiLevelType w:val="hybridMultilevel"/>
    <w:lvl w:ilvl="0">
      <w:lvlJc w:val="left"/>
      <w:lvlText w:val="%1."/>
      <w:numFmt w:val="decimal"/>
      <w:start w:val="13"/>
    </w:lvl>
    <w:lvl w:ilvl="1">
      <w:lvlJc w:val="left"/>
      <w:lvlText w:val="(%2)"/>
      <w:numFmt w:val="lowerLetter"/>
      <w:start w:val="1"/>
    </w:lvl>
  </w:abstractNum>
  <w:abstractNum w:abstractNumId="188">
    <w:nsid w:val="8F8B73F"/>
    <w:multiLevelType w:val="hybridMultilevel"/>
    <w:lvl w:ilvl="0">
      <w:lvlJc w:val="left"/>
      <w:lvlText w:val="%1"/>
      <w:numFmt w:val="decimal"/>
      <w:start w:val="1"/>
    </w:lvl>
    <w:lvl w:ilvl="1">
      <w:lvlJc w:val="left"/>
      <w:lvlText w:val="(%2)"/>
      <w:numFmt w:val="lowerLetter"/>
      <w:start w:val="2"/>
    </w:lvl>
  </w:abstractNum>
  <w:abstractNum w:abstractNumId="189">
    <w:nsid w:val="CA6B462"/>
    <w:multiLevelType w:val="hybridMultilevel"/>
    <w:lvl w:ilvl="0">
      <w:lvlJc w:val="left"/>
      <w:lvlText w:val="%1."/>
      <w:numFmt w:val="decimal"/>
      <w:start w:val="15"/>
    </w:lvl>
    <w:lvl w:ilvl="1">
      <w:lvlJc w:val="left"/>
      <w:lvlText w:val="%2"/>
      <w:numFmt w:val="lowerLetter"/>
      <w:start w:val="1"/>
    </w:lvl>
  </w:abstractNum>
  <w:abstractNum w:abstractNumId="190">
    <w:nsid w:val="763CB680"/>
    <w:multiLevelType w:val="hybridMultilevel"/>
    <w:lvl w:ilvl="0">
      <w:lvlJc w:val="left"/>
      <w:lvlText w:val="%1."/>
      <w:numFmt w:val="decimal"/>
      <w:start w:val="22"/>
    </w:lvl>
  </w:abstractNum>
  <w:abstractNum w:abstractNumId="191">
    <w:nsid w:val="15B71329"/>
    <w:multiLevelType w:val="hybridMultilevel"/>
    <w:lvl w:ilvl="0">
      <w:lvlJc w:val="left"/>
      <w:lvlText w:val="["/>
      <w:numFmt w:val="bullet"/>
      <w:start w:val="1"/>
    </w:lvl>
  </w:abstractNum>
  <w:abstractNum w:abstractNumId="192">
    <w:nsid w:val="3DA97044"/>
    <w:multiLevelType w:val="hybridMultilevel"/>
    <w:lvl w:ilvl="0">
      <w:lvlJc w:val="left"/>
      <w:lvlText w:val="%1."/>
      <w:numFmt w:val="decimal"/>
      <w:start w:val="1"/>
    </w:lvl>
  </w:abstractNum>
  <w:abstractNum w:abstractNumId="193">
    <w:nsid w:val="1CDCE2DE"/>
    <w:multiLevelType w:val="hybridMultilevel"/>
    <w:lvl w:ilvl="0">
      <w:lvlJc w:val="left"/>
      <w:lvlText w:val="%1."/>
      <w:numFmt w:val="decimal"/>
      <w:start w:val="4"/>
    </w:lvl>
    <w:lvl w:ilvl="1">
      <w:lvlJc w:val="left"/>
      <w:lvlText w:val="(%2)"/>
      <w:numFmt w:val="lowerLetter"/>
      <w:start w:val="1"/>
    </w:lvl>
  </w:abstractNum>
  <w:abstractNum w:abstractNumId="194">
    <w:nsid w:val="69D3947C"/>
    <w:multiLevelType w:val="hybridMultilevel"/>
    <w:lvl w:ilvl="0">
      <w:lvlJc w:val="left"/>
      <w:lvlText w:val="(%1)"/>
      <w:numFmt w:val="lowerLetter"/>
      <w:start w:val="2"/>
    </w:lvl>
  </w:abstractNum>
  <w:abstractNum w:abstractNumId="195">
    <w:nsid w:val="2539DFA5"/>
    <w:multiLevelType w:val="hybridMultilevel"/>
    <w:lvl w:ilvl="0">
      <w:lvlJc w:val="left"/>
      <w:lvlText w:val="(%1)"/>
      <w:numFmt w:val="lowerLetter"/>
      <w:start w:val="4"/>
    </w:lvl>
  </w:abstractNum>
  <w:abstractNum w:abstractNumId="196">
    <w:nsid w:val="2DB88089"/>
    <w:multiLevelType w:val="hybridMultilevel"/>
    <w:lvl w:ilvl="0">
      <w:lvlJc w:val="left"/>
      <w:lvlText w:val="%1"/>
      <w:numFmt w:val="decimal"/>
      <w:start w:val="1"/>
    </w:lvl>
    <w:lvl w:ilvl="1">
      <w:lvlJc w:val="left"/>
      <w:lvlText w:val="(%2)"/>
      <w:numFmt w:val="lowerLetter"/>
      <w:start w:val="6"/>
    </w:lvl>
  </w:abstractNum>
  <w:abstractNum w:abstractNumId="197">
    <w:nsid w:val="706B674E"/>
    <w:multiLevelType w:val="hybridMultilevel"/>
    <w:lvl w:ilvl="0">
      <w:lvlJc w:val="left"/>
      <w:lvlText w:val="%1."/>
      <w:numFmt w:val="decimal"/>
      <w:start w:val="5"/>
    </w:lvl>
    <w:lvl w:ilvl="1">
      <w:lvlJc w:val="left"/>
      <w:lvlText w:val="(%2)"/>
      <w:numFmt w:val="lowerLetter"/>
      <w:start w:val="1"/>
    </w:lvl>
  </w:abstractNum>
  <w:abstractNum w:abstractNumId="198">
    <w:nsid w:val="2C106A57"/>
    <w:multiLevelType w:val="hybridMultilevel"/>
    <w:lvl w:ilvl="0">
      <w:lvlJc w:val="left"/>
      <w:lvlText w:val="%1"/>
      <w:numFmt w:val="decimal"/>
      <w:start w:val="1"/>
    </w:lvl>
    <w:lvl w:ilvl="1">
      <w:lvlJc w:val="left"/>
      <w:lvlText w:val="(%2)"/>
      <w:numFmt w:val="lowerLetter"/>
      <w:start w:val="2"/>
    </w:lvl>
  </w:abstractNum>
  <w:abstractNum w:abstractNumId="199">
    <w:nsid w:val="684EED59"/>
    <w:multiLevelType w:val="hybridMultilevel"/>
    <w:lvl w:ilvl="0">
      <w:lvlJc w:val="left"/>
      <w:lvlText w:val="%1."/>
      <w:numFmt w:val="decimal"/>
      <w:start w:val="6"/>
    </w:lvl>
    <w:lvl w:ilvl="1">
      <w:lvlJc w:val="left"/>
      <w:lvlText w:val="(%2)"/>
      <w:numFmt w:val="lowerLetter"/>
      <w:start w:val="1"/>
    </w:lvl>
  </w:abstractNum>
  <w:abstractNum w:abstractNumId="200">
    <w:nsid w:val="545EE5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01">
    <w:nsid w:val="4A66051"/>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02">
    <w:nsid w:val="20F4BDA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03">
    <w:nsid w:val="639DEFAC"/>
    <w:multiLevelType w:val="hybridMultilevel"/>
    <w:lvl w:ilvl="0">
      <w:lvlJc w:val="left"/>
      <w:lvlText w:val="(%1)"/>
      <w:numFmt w:val="lowerRoman"/>
      <w:start w:val="2"/>
    </w:lvl>
  </w:abstractNum>
  <w:abstractNum w:abstractNumId="204">
    <w:nsid w:val="501F9786"/>
    <w:multiLevelType w:val="hybridMultilevel"/>
    <w:lvl w:ilvl="0">
      <w:lvlJc w:val="left"/>
      <w:lvlText w:val="(%1)"/>
      <w:numFmt w:val="lowerLetter"/>
      <w:start w:val="35"/>
    </w:lvl>
    <w:lvl w:ilvl="1">
      <w:lvlJc w:val="left"/>
      <w:lvlText w:val="(%2)"/>
      <w:numFmt w:val="lowerLetter"/>
      <w:start w:val="3"/>
    </w:lvl>
  </w:abstractNum>
  <w:abstractNum w:abstractNumId="205">
    <w:nsid w:val="6B057295"/>
    <w:multiLevelType w:val="hybridMultilevel"/>
    <w:lvl w:ilvl="0">
      <w:lvlJc w:val="left"/>
      <w:lvlText w:val="(%1)"/>
      <w:numFmt w:val="lowerLetter"/>
      <w:start w:val="4"/>
    </w:lvl>
    <w:lvl w:ilvl="1">
      <w:lvlJc w:val="left"/>
      <w:lvlText w:val="(%2)"/>
      <w:numFmt w:val="lowerRoman"/>
      <w:start w:val="1"/>
    </w:lvl>
  </w:abstractNum>
  <w:abstractNum w:abstractNumId="206">
    <w:nsid w:val="2771AC80"/>
    <w:multiLevelType w:val="hybridMultilevel"/>
    <w:lvl w:ilvl="0">
      <w:lvlJc w:val="left"/>
      <w:lvlText w:val="%1."/>
      <w:numFmt w:val="decimal"/>
      <w:start w:val="11"/>
    </w:lvl>
  </w:abstractNum>
  <w:abstractNum w:abstractNumId="207">
    <w:nsid w:val="1C4A08EC"/>
    <w:multiLevelType w:val="hybridMultilevel"/>
    <w:lvl w:ilvl="0">
      <w:lvlJc w:val="left"/>
      <w:lvlText w:val="%1."/>
      <w:numFmt w:val="decimal"/>
      <w:start w:val="13"/>
    </w:lvl>
    <w:lvl w:ilvl="1">
      <w:lvlJc w:val="left"/>
      <w:lvlText w:val="(%2)"/>
      <w:numFmt w:val="lowerLetter"/>
      <w:start w:val="1"/>
    </w:lvl>
  </w:abstractNum>
  <w:abstractNum w:abstractNumId="208">
    <w:nsid w:val="1958BD17"/>
    <w:multiLevelType w:val="hybridMultilevel"/>
    <w:lvl w:ilvl="0">
      <w:lvlJc w:val="left"/>
      <w:lvlText w:val="%1."/>
      <w:numFmt w:val="decimal"/>
      <w:start w:val="15"/>
    </w:lvl>
  </w:abstractNum>
  <w:abstractNum w:abstractNumId="209">
    <w:nsid w:val="4E647FE4"/>
    <w:multiLevelType w:val="hybridMultilevel"/>
    <w:lvl w:ilvl="0">
      <w:lvlJc w:val="left"/>
      <w:lvlText w:val="%1."/>
      <w:numFmt w:val="decimal"/>
      <w:start w:val="22"/>
    </w:lvl>
  </w:abstractNum>
  <w:abstractNum w:abstractNumId="210">
    <w:nsid w:val="E0BB885"/>
    <w:multiLevelType w:val="hybridMultilevel"/>
    <w:lvl w:ilvl="0">
      <w:lvlJc w:val="left"/>
      <w:lvlText w:val="%1."/>
      <w:numFmt w:val="decimal"/>
      <w:start w:val="26"/>
    </w:lvl>
  </w:abstractNum>
  <w:abstractNum w:abstractNumId="211">
    <w:nsid w:val="565976F1"/>
    <w:multiLevelType w:val="hybridMultilevel"/>
    <w:lvl w:ilvl="0">
      <w:lvlJc w:val="left"/>
      <w:lvlText w:val="%1."/>
      <w:numFmt w:val="decimal"/>
      <w:start w:val="1"/>
    </w:lvl>
  </w:abstractNum>
  <w:abstractNum w:abstractNumId="212">
    <w:nsid w:val="64212B8C"/>
    <w:multiLevelType w:val="hybridMultilevel"/>
    <w:lvl w:ilvl="0">
      <w:lvlJc w:val="left"/>
      <w:lvlText w:val="%1."/>
      <w:numFmt w:val="decimal"/>
      <w:start w:val="4"/>
    </w:lvl>
    <w:lvl w:ilvl="1">
      <w:lvlJc w:val="left"/>
      <w:lvlText w:val="(%2)"/>
      <w:numFmt w:val="lowerLetter"/>
      <w:start w:val="1"/>
    </w:lvl>
  </w:abstractNum>
  <w:abstractNum w:abstractNumId="213">
    <w:nsid w:val="5C17530C"/>
    <w:multiLevelType w:val="hybridMultilevel"/>
    <w:lvl w:ilvl="0">
      <w:lvlJc w:val="left"/>
      <w:lvlText w:val="(%1)"/>
      <w:numFmt w:val="lowerLetter"/>
      <w:start w:val="3"/>
    </w:lvl>
  </w:abstractNum>
  <w:abstractNum w:abstractNumId="214">
    <w:nsid w:val="19A52566"/>
    <w:multiLevelType w:val="hybridMultilevel"/>
    <w:lvl w:ilvl="0">
      <w:lvlJc w:val="left"/>
      <w:lvlText w:val="%1"/>
      <w:numFmt w:val="decimal"/>
      <w:start w:val="1"/>
    </w:lvl>
    <w:lvl w:ilvl="1">
      <w:lvlJc w:val="left"/>
      <w:lvlText w:val="(%2)"/>
      <w:numFmt w:val="lowerLetter"/>
      <w:start w:val="7"/>
    </w:lvl>
  </w:abstractNum>
  <w:abstractNum w:abstractNumId="215">
    <w:nsid w:val="335A1DF1"/>
    <w:multiLevelType w:val="hybridMultilevel"/>
    <w:lvl w:ilvl="0">
      <w:lvlJc w:val="left"/>
      <w:lvlText w:val="%1."/>
      <w:numFmt w:val="decimal"/>
      <w:start w:val="5"/>
    </w:lvl>
    <w:lvl w:ilvl="1">
      <w:lvlJc w:val="left"/>
      <w:lvlText w:val="(%2)"/>
      <w:numFmt w:val="lowerLetter"/>
      <w:start w:val="1"/>
    </w:lvl>
  </w:abstractNum>
  <w:abstractNum w:abstractNumId="216">
    <w:nsid w:val="28677B7C"/>
    <w:multiLevelType w:val="hybridMultilevel"/>
    <w:lvl w:ilvl="0">
      <w:lvlJc w:val="left"/>
      <w:lvlText w:val="%1"/>
      <w:numFmt w:val="decimal"/>
      <w:start w:val="1"/>
    </w:lvl>
    <w:lvl w:ilvl="1">
      <w:lvlJc w:val="left"/>
      <w:lvlText w:val="(%2)"/>
      <w:numFmt w:val="lowerLetter"/>
      <w:start w:val="4"/>
    </w:lvl>
  </w:abstractNum>
  <w:abstractNum w:abstractNumId="217">
    <w:nsid w:val="378D97C0"/>
    <w:multiLevelType w:val="hybridMultilevel"/>
    <w:lvl w:ilvl="0">
      <w:lvlJc w:val="left"/>
      <w:lvlText w:val="%1."/>
      <w:numFmt w:val="decimal"/>
      <w:start w:val="6"/>
    </w:lvl>
    <w:lvl w:ilvl="1">
      <w:lvlJc w:val="left"/>
      <w:lvlText w:val="(%2)"/>
      <w:numFmt w:val="lowerLetter"/>
      <w:start w:val="1"/>
    </w:lvl>
  </w:abstractNum>
  <w:abstractNum w:abstractNumId="218">
    <w:nsid w:val="1D91467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19">
    <w:nsid w:val="316032B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20">
    <w:nsid w:val="44344C22"/>
    <w:multiLevelType w:val="hybridMultilevel"/>
    <w:lvl w:ilvl="0">
      <w:lvlJc w:val="left"/>
      <w:lvlText w:val="(%1)"/>
      <w:numFmt w:val="lowerRoman"/>
      <w:start w:val="2"/>
    </w:lvl>
  </w:abstractNum>
  <w:abstractNum w:abstractNumId="221">
    <w:nsid w:val="13CDFCFC"/>
    <w:multiLevelType w:val="hybridMultilevel"/>
    <w:lvl w:ilvl="0">
      <w:lvlJc w:val="left"/>
      <w:lvlText w:val="(%1)"/>
      <w:numFmt w:val="lowerRoman"/>
      <w:start w:val="5"/>
    </w:lvl>
  </w:abstractNum>
  <w:abstractNum w:abstractNumId="222">
    <w:nsid w:val="471745E4"/>
    <w:multiLevelType w:val="hybridMultilevel"/>
    <w:lvl w:ilvl="0">
      <w:lvlJc w:val="left"/>
      <w:lvlText w:val="(%1)"/>
      <w:numFmt w:val="lowerLetter"/>
      <w:start w:val="3"/>
    </w:lvl>
  </w:abstractNum>
  <w:abstractNum w:abstractNumId="223">
    <w:nsid w:val="1DDBC66"/>
    <w:multiLevelType w:val="hybridMultilevel"/>
    <w:lvl w:ilvl="0">
      <w:lvlJc w:val="left"/>
      <w:lvlText w:val="(%1)"/>
      <w:numFmt w:val="lowerLetter"/>
      <w:start w:val="4"/>
    </w:lvl>
    <w:lvl w:ilvl="1">
      <w:lvlJc w:val="left"/>
      <w:lvlText w:val="(%2)"/>
      <w:numFmt w:val="lowerLetter"/>
      <w:start w:val="9"/>
    </w:lvl>
  </w:abstractNum>
  <w:abstractNum w:abstractNumId="224">
    <w:nsid w:val="30AADFDA"/>
    <w:multiLevelType w:val="hybridMultilevel"/>
    <w:lvl w:ilvl="0">
      <w:lvlJc w:val="left"/>
      <w:lvlText w:val="(%1)"/>
      <w:numFmt w:val="lowerRoman"/>
      <w:start w:val="2"/>
    </w:lvl>
  </w:abstractNum>
  <w:abstractNum w:abstractNumId="225">
    <w:nsid w:val="30EADA61"/>
    <w:multiLevelType w:val="hybridMultilevel"/>
    <w:lvl w:ilvl="0">
      <w:lvlJc w:val="left"/>
      <w:lvlText w:val="%1."/>
      <w:numFmt w:val="decimal"/>
      <w:start w:val="11"/>
    </w:lvl>
  </w:abstractNum>
  <w:abstractNum w:abstractNumId="226">
    <w:nsid w:val="27179C0B"/>
    <w:multiLevelType w:val="hybridMultilevel"/>
    <w:lvl w:ilvl="0">
      <w:lvlJc w:val="left"/>
      <w:lvlText w:val="%1."/>
      <w:numFmt w:val="decimal"/>
      <w:start w:val="13"/>
    </w:lvl>
    <w:lvl w:ilvl="1">
      <w:lvlJc w:val="left"/>
      <w:lvlText w:val="(%2)"/>
      <w:numFmt w:val="lowerLetter"/>
      <w:start w:val="1"/>
    </w:lvl>
  </w:abstractNum>
  <w:abstractNum w:abstractNumId="227">
    <w:nsid w:val="5E636063"/>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2021-08-23T23:10:42Z</dcterms:created>
  <dcterms:modified xsi:type="dcterms:W3CDTF">2021-08-23T23:10:42Z</dcterms:modified>
</cp:coreProperties>
</file>