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1E1E1E"/>
        </w:rPr>
        <w:drawing>
          <wp:anchor simplePos="0" relativeHeight="251657728" behindDoc="1" locked="0" layoutInCell="0" allowOverlap="1">
            <wp:simplePos x="0" y="0"/>
            <wp:positionH relativeFrom="page">
              <wp:posOffset>324485</wp:posOffset>
            </wp:positionH>
            <wp:positionV relativeFrom="page">
              <wp:posOffset>488950</wp:posOffset>
            </wp:positionV>
            <wp:extent cx="6894830"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9525"/>
                    </a:xfrm>
                    <a:prstGeom prst="rect">
                      <a:avLst/>
                    </a:prstGeom>
                    <a:noFill/>
                  </pic:spPr>
                </pic:pic>
              </a:graphicData>
            </a:graphic>
          </wp:anchor>
        </w:drawing>
        <w:drawing>
          <wp:anchor simplePos="0" relativeHeight="251657728" behindDoc="1" locked="0" layoutInCell="0" allowOverlap="1">
            <wp:simplePos x="0" y="0"/>
            <wp:positionH relativeFrom="page">
              <wp:posOffset>324485</wp:posOffset>
            </wp:positionH>
            <wp:positionV relativeFrom="page">
              <wp:posOffset>508000</wp:posOffset>
            </wp:positionV>
            <wp:extent cx="6894830"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9525"/>
                    </a:xfrm>
                    <a:prstGeom prst="rect">
                      <a:avLst/>
                    </a:prstGeom>
                    <a:noFill/>
                  </pic:spPr>
                </pic:pic>
              </a:graphicData>
            </a:graphic>
          </wp:anchor>
        </w:drawing>
        <w:t>UNITED STATES</w:t>
      </w:r>
    </w:p>
    <w:p>
      <w:pPr>
        <w:jc w:val="center"/>
        <w:spacing w:after="0"/>
        <w:rPr>
          <w:sz w:val="20"/>
          <w:szCs w:val="20"/>
          <w:color w:val="auto"/>
        </w:rPr>
      </w:pPr>
      <w:r>
        <w:rPr>
          <w:rFonts w:ascii="Times New Roman" w:cs="Times New Roman" w:eastAsia="Times New Roman" w:hAnsi="Times New Roman"/>
          <w:sz w:val="30"/>
          <w:szCs w:val="30"/>
          <w:b w:val="1"/>
          <w:bCs w:val="1"/>
          <w:color w:val="1E1E1E"/>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71755</wp:posOffset>
            </wp:positionV>
            <wp:extent cx="140843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1E1E1E"/>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83185</wp:posOffset>
            </wp:positionV>
            <wp:extent cx="140843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1E1E1E"/>
        </w:rPr>
        <w:t>(Mark One)</w:t>
      </w:r>
    </w:p>
    <w:p>
      <w:pPr>
        <w:ind w:left="440" w:hanging="426"/>
        <w:spacing w:after="0"/>
        <w:tabs>
          <w:tab w:leader="none" w:pos="440" w:val="left"/>
        </w:tabs>
        <w:numPr>
          <w:ilvl w:val="0"/>
          <w:numId w:val="1"/>
        </w:numPr>
        <w:rPr>
          <w:rFonts w:ascii="MS PGothic" w:cs="MS PGothic" w:eastAsia="MS PGothic" w:hAnsi="MS PGothic"/>
          <w:sz w:val="18"/>
          <w:szCs w:val="18"/>
          <w:b w:val="1"/>
          <w:bCs w:val="1"/>
          <w:color w:val="1E1E1E"/>
        </w:rPr>
      </w:pPr>
      <w:r>
        <w:rPr>
          <w:rFonts w:ascii="Times New Roman" w:cs="Times New Roman" w:eastAsia="Times New Roman" w:hAnsi="Times New Roman"/>
          <w:sz w:val="18"/>
          <w:szCs w:val="18"/>
          <w:b w:val="1"/>
          <w:bCs w:val="1"/>
          <w:color w:val="1E1E1E"/>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For the fiscal year ended December 31, 2023</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OR</w:t>
      </w:r>
    </w:p>
    <w:p>
      <w:pPr>
        <w:spacing w:after="0" w:line="60" w:lineRule="exact"/>
        <w:rPr>
          <w:sz w:val="24"/>
          <w:szCs w:val="24"/>
          <w:color w:val="auto"/>
        </w:rPr>
      </w:pPr>
    </w:p>
    <w:p>
      <w:pPr>
        <w:ind w:left="440" w:hanging="426"/>
        <w:spacing w:after="0"/>
        <w:tabs>
          <w:tab w:leader="none" w:pos="440" w:val="left"/>
        </w:tabs>
        <w:numPr>
          <w:ilvl w:val="0"/>
          <w:numId w:val="2"/>
        </w:numPr>
        <w:rPr>
          <w:rFonts w:ascii="MS PGothic" w:cs="MS PGothic" w:eastAsia="MS PGothic" w:hAnsi="MS PGothic"/>
          <w:sz w:val="17"/>
          <w:szCs w:val="17"/>
          <w:b w:val="1"/>
          <w:bCs w:val="1"/>
          <w:color w:val="1E1E1E"/>
        </w:rPr>
      </w:pPr>
      <w:r>
        <w:rPr>
          <w:rFonts w:ascii="Times New Roman" w:cs="Times New Roman" w:eastAsia="Times New Roman" w:hAnsi="Times New Roman"/>
          <w:sz w:val="17"/>
          <w:szCs w:val="17"/>
          <w:b w:val="1"/>
          <w:bCs w:val="1"/>
          <w:color w:val="1E1E1E"/>
        </w:rPr>
        <w:t>TRANSITION REPORT PURSUANT TO SECTION 13 OR 15(d) OF THE SECURITIES EXCHANGE ACT OF 1934 FOR THE</w:t>
      </w:r>
    </w:p>
    <w:p>
      <w:pPr>
        <w:spacing w:after="0" w:line="11" w:lineRule="exact"/>
        <w:rPr>
          <w:rFonts w:ascii="MS PGothic" w:cs="MS PGothic" w:eastAsia="MS PGothic" w:hAnsi="MS PGothic"/>
          <w:sz w:val="17"/>
          <w:szCs w:val="17"/>
          <w:b w:val="1"/>
          <w:bCs w:val="1"/>
          <w:color w:val="1E1E1E"/>
        </w:rPr>
      </w:pPr>
    </w:p>
    <w:p>
      <w:pPr>
        <w:ind w:left="440"/>
        <w:spacing w:after="0"/>
        <w:rPr>
          <w:rFonts w:ascii="MS PGothic" w:cs="MS PGothic" w:eastAsia="MS PGothic" w:hAnsi="MS PGothic"/>
          <w:sz w:val="17"/>
          <w:szCs w:val="17"/>
          <w:b w:val="1"/>
          <w:bCs w:val="1"/>
          <w:color w:val="1E1E1E"/>
        </w:rPr>
      </w:pPr>
      <w:r>
        <w:rPr>
          <w:rFonts w:ascii="Times New Roman" w:cs="Times New Roman" w:eastAsia="Times New Roman" w:hAnsi="Times New Roman"/>
          <w:sz w:val="18"/>
          <w:szCs w:val="18"/>
          <w:b w:val="1"/>
          <w:bCs w:val="1"/>
          <w:color w:val="1E1E1E"/>
        </w:rPr>
        <w:t>TRANSITION PERIOD FROM</w:t>
      </w:r>
      <w:r>
        <w:rPr>
          <w:rFonts w:ascii="Times New Roman" w:cs="Times New Roman" w:eastAsia="Times New Roman" w:hAnsi="Times New Roman"/>
          <w:sz w:val="17"/>
          <w:szCs w:val="17"/>
          <w:b w:val="1"/>
          <w:bCs w:val="1"/>
          <w:color w:val="1E1E1E"/>
        </w:rPr>
        <w:t>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Commission File Number 001-40815</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1E1E1E"/>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-299085</wp:posOffset>
            </wp:positionV>
            <wp:extent cx="140843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ectPr>
          <w:pgSz w:w="11880" w:h="15480" w:orient="portrait"/>
          <w:cols w:equalWidth="0" w:num="1">
            <w:col w:w="10800"/>
          </w:cols>
          <w:pgMar w:left="540" w:top="821" w:right="540" w:bottom="264" w:gutter="0" w:footer="0" w:header="0"/>
        </w:sectPr>
      </w:pP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1E1E1E"/>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70485</wp:posOffset>
            </wp:positionV>
            <wp:extent cx="140843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5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1E1E1E"/>
        </w:rPr>
        <w:t>Delaware</w:t>
      </w:r>
    </w:p>
    <w:p>
      <w:pPr>
        <w:spacing w:after="0" w:line="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1E1E1E"/>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1E1E1E"/>
        </w:rPr>
        <w:t>incorporation or organization)</w:t>
      </w:r>
    </w:p>
    <w:p>
      <w:pPr>
        <w:spacing w:after="0" w:line="1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6"/>
          <w:szCs w:val="16"/>
          <w:b w:val="1"/>
          <w:bCs w:val="1"/>
          <w:color w:val="1E1E1E"/>
        </w:rPr>
        <w:t>492 Old Connecticut Path, Suite 401</w:t>
      </w:r>
    </w:p>
    <w:p>
      <w:pPr>
        <w:spacing w:after="0" w:line="1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color w:val="1E1E1E"/>
        </w:rPr>
        <w:t>Framingham, MA</w:t>
      </w:r>
    </w:p>
    <w:p>
      <w:pPr>
        <w:spacing w:after="0" w:line="2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1E1E1E"/>
        </w:rPr>
        <w:t>(Address of principal executive offices)</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1E1E1E"/>
        </w:rPr>
        <w:t>86-3988281</w:t>
      </w: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1E1E1E"/>
        </w:rPr>
        <w:t>(I.R.S. Employer</w:t>
      </w:r>
    </w:p>
    <w:p>
      <w:pPr>
        <w:spacing w:after="0"/>
        <w:rPr>
          <w:sz w:val="20"/>
          <w:szCs w:val="20"/>
          <w:color w:val="auto"/>
        </w:rPr>
      </w:pPr>
      <w:r>
        <w:rPr>
          <w:rFonts w:ascii="Times New Roman" w:cs="Times New Roman" w:eastAsia="Times New Roman" w:hAnsi="Times New Roman"/>
          <w:sz w:val="14"/>
          <w:szCs w:val="14"/>
          <w:b w:val="1"/>
          <w:bCs w:val="1"/>
          <w:color w:val="1E1E1E"/>
        </w:rPr>
        <w:t>Identification No.)</w:t>
      </w:r>
    </w:p>
    <w:p>
      <w:pPr>
        <w:spacing w:after="0" w:line="212"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1E1E1E"/>
        </w:rPr>
        <w:t>01701</w:t>
      </w:r>
    </w:p>
    <w:p>
      <w:pPr>
        <w:spacing w:after="0" w:line="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1E1E1E"/>
        </w:rPr>
        <w:t>(Zip Code)</w:t>
      </w:r>
    </w:p>
    <w:p>
      <w:pPr>
        <w:spacing w:after="0" w:line="55" w:lineRule="exact"/>
        <w:rPr>
          <w:sz w:val="24"/>
          <w:szCs w:val="24"/>
          <w:color w:val="auto"/>
        </w:rPr>
      </w:pPr>
    </w:p>
    <w:p>
      <w:pPr>
        <w:sectPr>
          <w:pgSz w:w="11880" w:h="15480" w:orient="portrait"/>
          <w:cols w:equalWidth="0" w:num="2">
            <w:col w:w="7440" w:space="100"/>
            <w:col w:w="3260"/>
          </w:cols>
          <w:pgMar w:left="540" w:top="821" w:right="540" w:bottom="264" w:gutter="0" w:footer="0" w:header="0"/>
          <w:type w:val="continuous"/>
        </w:sectPr>
      </w:pPr>
    </w:p>
    <w:p>
      <w:pPr>
        <w:ind w:left="2800"/>
        <w:spacing w:after="0"/>
        <w:rPr>
          <w:sz w:val="20"/>
          <w:szCs w:val="20"/>
          <w:color w:val="auto"/>
        </w:rPr>
      </w:pPr>
      <w:r>
        <w:rPr>
          <w:rFonts w:ascii="Times New Roman" w:cs="Times New Roman" w:eastAsia="Times New Roman" w:hAnsi="Times New Roman"/>
          <w:sz w:val="18"/>
          <w:szCs w:val="18"/>
          <w:b w:val="1"/>
          <w:bCs w:val="1"/>
          <w:color w:val="1E1E1E"/>
        </w:rPr>
        <w:t>Registrant’s telephone number, including area code: (508) 720-4224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2724785</wp:posOffset>
            </wp:positionH>
            <wp:positionV relativeFrom="paragraph">
              <wp:posOffset>70485</wp:posOffset>
            </wp:positionV>
            <wp:extent cx="140843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1E1E1E"/>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60" w:type="dxa"/>
            <w:vAlign w:val="bottom"/>
            <w:gridSpan w:val="3"/>
          </w:tcPr>
          <w:p>
            <w:pPr>
              <w:ind w:left="1280"/>
              <w:spacing w:after="0"/>
              <w:rPr>
                <w:sz w:val="20"/>
                <w:szCs w:val="20"/>
                <w:color w:val="auto"/>
              </w:rPr>
            </w:pPr>
            <w:r>
              <w:rPr>
                <w:rFonts w:ascii="Times New Roman" w:cs="Times New Roman" w:eastAsia="Times New Roman" w:hAnsi="Times New Roman"/>
                <w:sz w:val="16"/>
                <w:szCs w:val="16"/>
                <w:b w:val="1"/>
                <w:bCs w:val="1"/>
                <w:color w:val="1E1E1E"/>
              </w:rPr>
              <w:t>Title of each class</w:t>
            </w:r>
          </w:p>
        </w:tc>
        <w:tc>
          <w:tcPr>
            <w:tcW w:w="2000" w:type="dxa"/>
            <w:vAlign w:val="bottom"/>
          </w:tcPr>
          <w:p>
            <w:pPr>
              <w:jc w:val="center"/>
              <w:ind w:right="275"/>
              <w:spacing w:after="0"/>
              <w:rPr>
                <w:sz w:val="20"/>
                <w:szCs w:val="20"/>
                <w:color w:val="auto"/>
              </w:rPr>
            </w:pPr>
            <w:r>
              <w:rPr>
                <w:rFonts w:ascii="Times New Roman" w:cs="Times New Roman" w:eastAsia="Times New Roman" w:hAnsi="Times New Roman"/>
                <w:sz w:val="16"/>
                <w:szCs w:val="16"/>
                <w:b w:val="1"/>
                <w:bCs w:val="1"/>
                <w:color w:val="1E1E1E"/>
                <w:w w:val="99"/>
              </w:rPr>
              <w:t>Trading Symbol(s)</w:t>
            </w:r>
          </w:p>
        </w:tc>
        <w:tc>
          <w:tcPr>
            <w:tcW w:w="120" w:type="dxa"/>
            <w:vAlign w:val="bottom"/>
          </w:tcPr>
          <w:p>
            <w:pPr>
              <w:spacing w:after="0"/>
              <w:rPr>
                <w:sz w:val="17"/>
                <w:szCs w:val="17"/>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Name of each exchange on which registered</w:t>
            </w:r>
          </w:p>
        </w:tc>
      </w:tr>
      <w:tr>
        <w:trPr>
          <w:trHeight w:val="237"/>
        </w:trPr>
        <w:tc>
          <w:tcPr>
            <w:tcW w:w="378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18"/>
                <w:szCs w:val="18"/>
                <w:b w:val="1"/>
                <w:bCs w:val="1"/>
                <w:color w:val="1E1E1E"/>
              </w:rPr>
              <w:t>Class A Common Stock, $0.001 par value</w:t>
            </w:r>
          </w:p>
        </w:tc>
        <w:tc>
          <w:tcPr>
            <w:tcW w:w="100" w:type="dxa"/>
            <w:vAlign w:val="bottom"/>
          </w:tcPr>
          <w:p>
            <w:pPr>
              <w:spacing w:after="0"/>
              <w:rPr>
                <w:sz w:val="20"/>
                <w:szCs w:val="20"/>
                <w:color w:val="auto"/>
              </w:rPr>
            </w:pPr>
          </w:p>
        </w:tc>
        <w:tc>
          <w:tcPr>
            <w:tcW w:w="380" w:type="dxa"/>
            <w:vAlign w:val="bottom"/>
            <w:tcBorders>
              <w:top w:val="single" w:sz="8" w:color="1E1E1E"/>
            </w:tcBorders>
          </w:tcPr>
          <w:p>
            <w:pPr>
              <w:spacing w:after="0"/>
              <w:rPr>
                <w:sz w:val="20"/>
                <w:szCs w:val="20"/>
                <w:color w:val="auto"/>
              </w:rPr>
            </w:pPr>
          </w:p>
        </w:tc>
        <w:tc>
          <w:tcPr>
            <w:tcW w:w="2000" w:type="dxa"/>
            <w:vAlign w:val="bottom"/>
            <w:tcBorders>
              <w:top w:val="single" w:sz="8" w:color="1E1E1E"/>
            </w:tcBorders>
          </w:tcPr>
          <w:p>
            <w:pPr>
              <w:jc w:val="center"/>
              <w:ind w:right="275"/>
              <w:spacing w:after="0"/>
              <w:rPr>
                <w:sz w:val="20"/>
                <w:szCs w:val="20"/>
                <w:color w:val="auto"/>
              </w:rPr>
            </w:pPr>
            <w:r>
              <w:rPr>
                <w:rFonts w:ascii="Times New Roman" w:cs="Times New Roman" w:eastAsia="Times New Roman" w:hAnsi="Times New Roman"/>
                <w:sz w:val="18"/>
                <w:szCs w:val="18"/>
                <w:b w:val="1"/>
                <w:bCs w:val="1"/>
                <w:color w:val="1E1E1E"/>
              </w:rPr>
              <w:t>DH</w:t>
            </w:r>
          </w:p>
        </w:tc>
        <w:tc>
          <w:tcPr>
            <w:tcW w:w="120" w:type="dxa"/>
            <w:vAlign w:val="bottom"/>
          </w:tcPr>
          <w:p>
            <w:pPr>
              <w:spacing w:after="0"/>
              <w:rPr>
                <w:sz w:val="20"/>
                <w:szCs w:val="20"/>
                <w:color w:val="auto"/>
              </w:rPr>
            </w:pPr>
          </w:p>
        </w:tc>
        <w:tc>
          <w:tcPr>
            <w:tcW w:w="4420" w:type="dxa"/>
            <w:vAlign w:val="bottom"/>
            <w:tcBorders>
              <w:top w:val="single" w:sz="8" w:color="1E1E1E"/>
            </w:tcBorders>
          </w:tcPr>
          <w:p>
            <w:pPr>
              <w:jc w:val="center"/>
              <w:spacing w:after="0"/>
              <w:rPr>
                <w:sz w:val="20"/>
                <w:szCs w:val="20"/>
                <w:color w:val="auto"/>
              </w:rPr>
            </w:pPr>
            <w:r>
              <w:rPr>
                <w:rFonts w:ascii="Times New Roman" w:cs="Times New Roman" w:eastAsia="Times New Roman" w:hAnsi="Times New Roman"/>
                <w:sz w:val="18"/>
                <w:szCs w:val="18"/>
                <w:b w:val="1"/>
                <w:bCs w:val="1"/>
                <w:color w:val="1E1E1E"/>
                <w:w w:val="99"/>
              </w:rPr>
              <w:t>The Nasdaq Stock Market LLC</w:t>
            </w:r>
          </w:p>
        </w:tc>
      </w:tr>
      <w:tr>
        <w:trPr>
          <w:trHeight w:val="221"/>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1E1E1E"/>
              </w:rPr>
              <w:t xml:space="preserve">Securities registered pursuant to Section 12(g) of the Act: </w:t>
            </w:r>
            <w:r>
              <w:rPr>
                <w:rFonts w:ascii="Times New Roman" w:cs="Times New Roman" w:eastAsia="Times New Roman" w:hAnsi="Times New Roman"/>
                <w:sz w:val="16"/>
                <w:szCs w:val="16"/>
                <w:b w:val="1"/>
                <w:bCs w:val="1"/>
                <w:color w:val="1E1E1E"/>
              </w:rPr>
              <w:t>None</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-302895</wp:posOffset>
            </wp:positionV>
            <wp:extent cx="685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3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-302895</wp:posOffset>
            </wp:positionV>
            <wp:extent cx="685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350"/>
                    </a:xfrm>
                    <a:prstGeom prst="rect">
                      <a:avLst/>
                    </a:prstGeom>
                    <a:noFill/>
                  </pic:spPr>
                </pic:pic>
              </a:graphicData>
            </a:graphic>
          </wp:anchor>
        </w:drawing>
      </w:r>
    </w:p>
    <w:p>
      <w:pPr>
        <w:spacing w:after="0" w:line="4" w:lineRule="exact"/>
        <w:rPr>
          <w:sz w:val="24"/>
          <w:szCs w:val="24"/>
          <w:color w:val="auto"/>
        </w:rPr>
      </w:pPr>
    </w:p>
    <w:p>
      <w:pPr>
        <w:ind w:right="2100"/>
        <w:spacing w:after="0" w:line="267" w:lineRule="exact"/>
        <w:rPr>
          <w:sz w:val="20"/>
          <w:szCs w:val="20"/>
          <w:color w:val="auto"/>
        </w:rPr>
      </w:pPr>
      <w:r>
        <w:rPr>
          <w:rFonts w:ascii="Times New Roman" w:cs="Times New Roman" w:eastAsia="Times New Roman" w:hAnsi="Times New Roman"/>
          <w:sz w:val="16"/>
          <w:szCs w:val="16"/>
          <w:color w:val="1E1E1E"/>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1E1E1E"/>
        </w:rPr>
        <w:t>☐</w:t>
      </w:r>
      <w:r>
        <w:rPr>
          <w:rFonts w:ascii="Times New Roman" w:cs="Times New Roman" w:eastAsia="Times New Roman" w:hAnsi="Times New Roman"/>
          <w:sz w:val="16"/>
          <w:szCs w:val="16"/>
          <w:color w:val="1E1E1E"/>
        </w:rPr>
        <w:t xml:space="preserve"> NO </w:t>
      </w:r>
      <w:r>
        <w:rPr>
          <w:rFonts w:ascii="MS PGothic" w:cs="MS PGothic" w:eastAsia="MS PGothic" w:hAnsi="MS PGothic"/>
          <w:sz w:val="16"/>
          <w:szCs w:val="16"/>
          <w:b w:val="1"/>
          <w:bCs w:val="1"/>
          <w:color w:val="1E1E1E"/>
        </w:rPr>
        <w:t>☒</w:t>
      </w:r>
      <w:r>
        <w:rPr>
          <w:rFonts w:ascii="Times New Roman" w:cs="Times New Roman" w:eastAsia="Times New Roman" w:hAnsi="Times New Roman"/>
          <w:sz w:val="16"/>
          <w:szCs w:val="16"/>
          <w:color w:val="1E1E1E"/>
        </w:rPr>
        <w:t xml:space="preserve"> Indicate by check mark if the Registrant is not required to file reports pursuant to Section 13 or 15(d) of the Act. YES </w:t>
      </w:r>
      <w:r>
        <w:rPr>
          <w:rFonts w:ascii="MS PGothic" w:cs="MS PGothic" w:eastAsia="MS PGothic" w:hAnsi="MS PGothic"/>
          <w:sz w:val="16"/>
          <w:szCs w:val="16"/>
          <w:b w:val="1"/>
          <w:bCs w:val="1"/>
          <w:color w:val="1E1E1E"/>
        </w:rPr>
        <w:t>☐</w:t>
      </w:r>
      <w:r>
        <w:rPr>
          <w:rFonts w:ascii="Times New Roman" w:cs="Times New Roman" w:eastAsia="Times New Roman" w:hAnsi="Times New Roman"/>
          <w:sz w:val="16"/>
          <w:szCs w:val="16"/>
          <w:color w:val="1E1E1E"/>
        </w:rPr>
        <w:t xml:space="preserve"> NO </w:t>
      </w:r>
      <w:r>
        <w:rPr>
          <w:rFonts w:ascii="MS PGothic" w:cs="MS PGothic" w:eastAsia="MS PGothic" w:hAnsi="MS PGothic"/>
          <w:sz w:val="16"/>
          <w:szCs w:val="16"/>
          <w:b w:val="1"/>
          <w:bCs w:val="1"/>
          <w:color w:val="1E1E1E"/>
        </w:rPr>
        <w:t>☒</w:t>
      </w:r>
    </w:p>
    <w:p>
      <w:pPr>
        <w:spacing w:after="0" w:line="13"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1E1E1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1080" w:val="left"/>
        </w:tabs>
        <w:rPr>
          <w:sz w:val="20"/>
          <w:szCs w:val="20"/>
          <w:color w:val="auto"/>
        </w:rPr>
      </w:pPr>
      <w:r>
        <w:rPr>
          <w:rFonts w:ascii="Times New Roman" w:cs="Times New Roman" w:eastAsia="Times New Roman" w:hAnsi="Times New Roman"/>
          <w:sz w:val="16"/>
          <w:szCs w:val="16"/>
          <w:color w:val="1E1E1E"/>
        </w:rPr>
        <w:t xml:space="preserve">days. YES </w:t>
      </w:r>
      <w:r>
        <w:rPr>
          <w:rFonts w:ascii="MS PGothic" w:cs="MS PGothic" w:eastAsia="MS PGothic" w:hAnsi="MS PGothic"/>
          <w:sz w:val="16"/>
          <w:szCs w:val="16"/>
          <w:b w:val="1"/>
          <w:bCs w:val="1"/>
          <w:color w:val="1E1E1E"/>
        </w:rPr>
        <w:t>☒</w:t>
      </w:r>
      <w:r>
        <w:rPr>
          <w:sz w:val="20"/>
          <w:szCs w:val="20"/>
          <w:color w:val="auto"/>
        </w:rPr>
        <w:tab/>
      </w:r>
      <w:r>
        <w:rPr>
          <w:rFonts w:ascii="Times New Roman" w:cs="Times New Roman" w:eastAsia="Times New Roman" w:hAnsi="Times New Roman"/>
          <w:sz w:val="14"/>
          <w:szCs w:val="14"/>
          <w:color w:val="1E1E1E"/>
        </w:rPr>
        <w:t xml:space="preserve">NO </w:t>
      </w:r>
      <w:r>
        <w:rPr>
          <w:rFonts w:ascii="MS PGothic" w:cs="MS PGothic" w:eastAsia="MS PGothic" w:hAnsi="MS PGothic"/>
          <w:sz w:val="14"/>
          <w:szCs w:val="14"/>
          <w:b w:val="1"/>
          <w:bCs w:val="1"/>
          <w:color w:val="1E1E1E"/>
        </w:rPr>
        <w:t>☐</w:t>
      </w:r>
    </w:p>
    <w:p>
      <w:pPr>
        <w:spacing w:after="0" w:line="90" w:lineRule="exact"/>
        <w:rPr>
          <w:sz w:val="24"/>
          <w:szCs w:val="24"/>
          <w:color w:val="auto"/>
        </w:rPr>
      </w:pPr>
    </w:p>
    <w:p>
      <w:pPr>
        <w:ind w:right="60"/>
        <w:spacing w:after="0" w:line="222" w:lineRule="exact"/>
        <w:rPr>
          <w:sz w:val="20"/>
          <w:szCs w:val="20"/>
          <w:color w:val="auto"/>
        </w:rPr>
      </w:pPr>
      <w:r>
        <w:rPr>
          <w:rFonts w:ascii="Times New Roman" w:cs="Times New Roman" w:eastAsia="Times New Roman" w:hAnsi="Times New Roman"/>
          <w:sz w:val="16"/>
          <w:szCs w:val="16"/>
          <w:color w:val="1E1E1E"/>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1E1E1E"/>
        </w:rPr>
        <w:t>☒</w:t>
      </w:r>
      <w:r>
        <w:rPr>
          <w:rFonts w:ascii="Times New Roman" w:cs="Times New Roman" w:eastAsia="Times New Roman" w:hAnsi="Times New Roman"/>
          <w:sz w:val="16"/>
          <w:szCs w:val="16"/>
          <w:color w:val="1E1E1E"/>
        </w:rPr>
        <w:t xml:space="preserve"> NO </w:t>
      </w:r>
      <w:r>
        <w:rPr>
          <w:rFonts w:ascii="MS PGothic" w:cs="MS PGothic" w:eastAsia="MS PGothic" w:hAnsi="MS PGothic"/>
          <w:sz w:val="16"/>
          <w:szCs w:val="16"/>
          <w:b w:val="1"/>
          <w:bCs w:val="1"/>
          <w:color w:val="1E1E1E"/>
        </w:rPr>
        <w:t>☐</w:t>
      </w:r>
    </w:p>
    <w:p>
      <w:pPr>
        <w:spacing w:after="0" w:line="14" w:lineRule="exact"/>
        <w:rPr>
          <w:sz w:val="24"/>
          <w:szCs w:val="24"/>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1E1E1E"/>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1E1E1E"/>
              </w:rPr>
              <w:t>Large 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b w:val="1"/>
                <w:bCs w:val="1"/>
                <w:color w:val="1E1E1E"/>
              </w:rPr>
              <w:t>☐</w:t>
            </w:r>
          </w:p>
        </w:tc>
        <w:tc>
          <w:tcPr>
            <w:tcW w:w="5020" w:type="dxa"/>
            <w:vAlign w:val="bottom"/>
          </w:tcPr>
          <w:p>
            <w:pPr>
              <w:ind w:left="3000"/>
              <w:spacing w:after="0"/>
              <w:rPr>
                <w:sz w:val="20"/>
                <w:szCs w:val="20"/>
                <w:color w:val="auto"/>
              </w:rPr>
            </w:pPr>
            <w:r>
              <w:rPr>
                <w:rFonts w:ascii="Times New Roman" w:cs="Times New Roman" w:eastAsia="Times New Roman" w:hAnsi="Times New Roman"/>
                <w:sz w:val="16"/>
                <w:szCs w:val="16"/>
                <w:color w:val="1E1E1E"/>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1E1E1E"/>
                <w:w w:val="74"/>
              </w:rPr>
              <w:t>☒</w:t>
            </w:r>
          </w:p>
        </w:tc>
      </w:tr>
      <w:tr>
        <w:trPr>
          <w:trHeight w:val="287"/>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1E1E1E"/>
              </w:rPr>
              <w:t>Non-accelerated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b w:val="1"/>
                <w:bCs w:val="1"/>
                <w:color w:val="1E1E1E"/>
              </w:rPr>
              <w:t>☐</w:t>
            </w:r>
          </w:p>
        </w:tc>
        <w:tc>
          <w:tcPr>
            <w:tcW w:w="5020" w:type="dxa"/>
            <w:vAlign w:val="bottom"/>
          </w:tcPr>
          <w:p>
            <w:pPr>
              <w:ind w:left="3000"/>
              <w:spacing w:after="0"/>
              <w:rPr>
                <w:sz w:val="20"/>
                <w:szCs w:val="20"/>
                <w:color w:val="auto"/>
              </w:rPr>
            </w:pPr>
            <w:r>
              <w:rPr>
                <w:rFonts w:ascii="Times New Roman" w:cs="Times New Roman" w:eastAsia="Times New Roman" w:hAnsi="Times New Roman"/>
                <w:sz w:val="16"/>
                <w:szCs w:val="16"/>
                <w:color w:val="1E1E1E"/>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1E1E1E"/>
                <w:w w:val="74"/>
              </w:rPr>
              <w:t>☐</w:t>
            </w:r>
          </w:p>
        </w:tc>
      </w:tr>
      <w:tr>
        <w:trPr>
          <w:trHeight w:val="287"/>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20" w:type="dxa"/>
            <w:vAlign w:val="bottom"/>
          </w:tcPr>
          <w:p>
            <w:pPr>
              <w:ind w:left="3000"/>
              <w:spacing w:after="0"/>
              <w:rPr>
                <w:sz w:val="20"/>
                <w:szCs w:val="20"/>
                <w:color w:val="auto"/>
              </w:rPr>
            </w:pPr>
            <w:r>
              <w:rPr>
                <w:rFonts w:ascii="Times New Roman" w:cs="Times New Roman" w:eastAsia="Times New Roman" w:hAnsi="Times New Roman"/>
                <w:sz w:val="16"/>
                <w:szCs w:val="16"/>
                <w:color w:val="1E1E1E"/>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1E1E1E"/>
                <w:w w:val="74"/>
              </w:rPr>
              <w:t>☐</w:t>
            </w:r>
          </w:p>
        </w:tc>
      </w:tr>
    </w:tbl>
    <w:p>
      <w:pPr>
        <w:spacing w:after="0" w:line="22" w:lineRule="exact"/>
        <w:rPr>
          <w:sz w:val="24"/>
          <w:szCs w:val="24"/>
          <w:color w:val="auto"/>
        </w:rPr>
      </w:pPr>
    </w:p>
    <w:p>
      <w:pPr>
        <w:ind w:right="260"/>
        <w:spacing w:after="0" w:line="222" w:lineRule="exact"/>
        <w:rPr>
          <w:sz w:val="20"/>
          <w:szCs w:val="20"/>
          <w:color w:val="auto"/>
        </w:rPr>
      </w:pPr>
      <w:r>
        <w:rPr>
          <w:rFonts w:ascii="Times New Roman" w:cs="Times New Roman" w:eastAsia="Times New Roman" w:hAnsi="Times New Roman"/>
          <w:sz w:val="16"/>
          <w:szCs w:val="16"/>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1E1E1E"/>
        </w:rPr>
        <w:t>☐</w:t>
      </w:r>
    </w:p>
    <w:p>
      <w:pPr>
        <w:spacing w:after="0" w:line="14" w:lineRule="exact"/>
        <w:rPr>
          <w:sz w:val="24"/>
          <w:szCs w:val="24"/>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1E1E1E"/>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1" w:lineRule="exact"/>
        <w:rPr>
          <w:sz w:val="20"/>
          <w:szCs w:val="20"/>
          <w:color w:val="auto"/>
        </w:rPr>
      </w:pPr>
      <w:r>
        <w:rPr>
          <w:rFonts w:ascii="MS PGothic" w:cs="MS PGothic" w:eastAsia="MS PGothic" w:hAnsi="MS PGothic"/>
          <w:sz w:val="16"/>
          <w:szCs w:val="16"/>
          <w:b w:val="1"/>
          <w:bCs w:val="1"/>
          <w:color w:val="1E1E1E"/>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1E1E1E"/>
        </w:rPr>
        <w:t>If securities are registered pursuant to Section 12(b) of the Act, indicate by check mark whether the financial statements of the registrant included in the filing reflect the</w:t>
      </w:r>
    </w:p>
    <w:p>
      <w:pPr>
        <w:spacing w:after="0" w:line="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1E1E1E"/>
        </w:rPr>
        <w:t xml:space="preserve">correction of an error to previously issued financial statements. </w:t>
      </w:r>
      <w:r>
        <w:rPr>
          <w:rFonts w:ascii="MS PGothic" w:cs="MS PGothic" w:eastAsia="MS PGothic" w:hAnsi="MS PGothic"/>
          <w:sz w:val="16"/>
          <w:szCs w:val="16"/>
          <w:b w:val="1"/>
          <w:bCs w:val="1"/>
          <w:color w:val="1E1E1E"/>
        </w:rPr>
        <w:t>☐</w:t>
      </w:r>
    </w:p>
    <w:p>
      <w:pPr>
        <w:spacing w:after="0" w:line="39" w:lineRule="exact"/>
        <w:rPr>
          <w:sz w:val="24"/>
          <w:szCs w:val="24"/>
          <w:color w:val="auto"/>
        </w:rPr>
      </w:pPr>
    </w:p>
    <w:p>
      <w:pPr>
        <w:ind w:right="20"/>
        <w:spacing w:after="0" w:line="236" w:lineRule="exact"/>
        <w:rPr>
          <w:sz w:val="20"/>
          <w:szCs w:val="20"/>
          <w:color w:val="auto"/>
        </w:rPr>
      </w:pPr>
      <w:r>
        <w:rPr>
          <w:rFonts w:ascii="Times New Roman" w:cs="Times New Roman" w:eastAsia="Times New Roman" w:hAnsi="Times New Roman"/>
          <w:sz w:val="16"/>
          <w:szCs w:val="16"/>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1E1E1E"/>
        </w:rPr>
        <w:t>☐</w:t>
      </w:r>
    </w:p>
    <w:p>
      <w:pPr>
        <w:spacing w:after="0" w:line="44" w:lineRule="exact"/>
        <w:rPr>
          <w:sz w:val="24"/>
          <w:szCs w:val="24"/>
          <w:color w:val="auto"/>
        </w:rPr>
      </w:pPr>
    </w:p>
    <w:p>
      <w:pPr>
        <w:spacing w:after="0" w:line="184" w:lineRule="exact"/>
        <w:tabs>
          <w:tab w:leader="none" w:pos="8060" w:val="left"/>
        </w:tabs>
        <w:rPr>
          <w:sz w:val="20"/>
          <w:szCs w:val="20"/>
          <w:color w:val="auto"/>
        </w:rPr>
      </w:pPr>
      <w:r>
        <w:rPr>
          <w:rFonts w:ascii="Times New Roman" w:cs="Times New Roman" w:eastAsia="Times New Roman" w:hAnsi="Times New Roman"/>
          <w:sz w:val="16"/>
          <w:szCs w:val="16"/>
          <w:color w:val="1E1E1E"/>
        </w:rPr>
        <w:t xml:space="preserve">Indicate by check mark whether the Registrant is a shell company (as defined in Rule 12b-2 of the Exchange Act). YES </w:t>
      </w:r>
      <w:r>
        <w:rPr>
          <w:rFonts w:ascii="MS PGothic" w:cs="MS PGothic" w:eastAsia="MS PGothic" w:hAnsi="MS PGothic"/>
          <w:sz w:val="16"/>
          <w:szCs w:val="16"/>
          <w:b w:val="1"/>
          <w:bCs w:val="1"/>
          <w:color w:val="1E1E1E"/>
        </w:rPr>
        <w:t>☐</w:t>
      </w:r>
      <w:r>
        <w:rPr>
          <w:sz w:val="20"/>
          <w:szCs w:val="20"/>
          <w:color w:val="auto"/>
        </w:rPr>
        <w:tab/>
      </w:r>
      <w:r>
        <w:rPr>
          <w:rFonts w:ascii="Times New Roman" w:cs="Times New Roman" w:eastAsia="Times New Roman" w:hAnsi="Times New Roman"/>
          <w:sz w:val="15"/>
          <w:szCs w:val="15"/>
          <w:color w:val="1E1E1E"/>
        </w:rPr>
        <w:t xml:space="preserve">NO </w:t>
      </w:r>
      <w:r>
        <w:rPr>
          <w:rFonts w:ascii="MS PGothic" w:cs="MS PGothic" w:eastAsia="MS PGothic" w:hAnsi="MS PGothic"/>
          <w:sz w:val="15"/>
          <w:szCs w:val="15"/>
          <w:b w:val="1"/>
          <w:bCs w:val="1"/>
          <w:color w:val="1E1E1E"/>
        </w:rPr>
        <w:t>☒</w:t>
      </w:r>
    </w:p>
    <w:p>
      <w:pPr>
        <w:spacing w:after="0" w:line="90" w:lineRule="exact"/>
        <w:rPr>
          <w:sz w:val="24"/>
          <w:szCs w:val="24"/>
          <w:color w:val="auto"/>
        </w:rPr>
      </w:pPr>
    </w:p>
    <w:p>
      <w:pPr>
        <w:ind w:right="660"/>
        <w:spacing w:after="0" w:line="279" w:lineRule="auto"/>
        <w:rPr>
          <w:sz w:val="20"/>
          <w:szCs w:val="20"/>
          <w:color w:val="auto"/>
        </w:rPr>
      </w:pPr>
      <w:r>
        <w:rPr>
          <w:rFonts w:ascii="Times New Roman" w:cs="Times New Roman" w:eastAsia="Times New Roman" w:hAnsi="Times New Roman"/>
          <w:sz w:val="16"/>
          <w:szCs w:val="16"/>
          <w:color w:val="1E1E1E"/>
        </w:rPr>
        <w:t>The aggregate market value of the Class A Common Stock held by non-affiliates of the Registrant on June 30, 2023, based on the reported closing price of the Registrant's Class A Common Stock on the Nasdaq Global Select Market on that date, was approximately $525.8 million.</w:t>
      </w:r>
    </w:p>
    <w:p>
      <w:pPr>
        <w:spacing w:after="0"/>
        <w:rPr>
          <w:sz w:val="20"/>
          <w:szCs w:val="20"/>
          <w:color w:val="auto"/>
        </w:rPr>
      </w:pPr>
      <w:r>
        <w:rPr>
          <w:rFonts w:ascii="Times New Roman" w:cs="Times New Roman" w:eastAsia="Times New Roman" w:hAnsi="Times New Roman"/>
          <w:sz w:val="16"/>
          <w:szCs w:val="16"/>
          <w:color w:val="1E1E1E"/>
        </w:rPr>
        <w:t>The number of shares of Registrant’s Class A Common Stock outstanding as of February 23, 2024 was 117,723,025.</w:t>
      </w:r>
    </w:p>
    <w:p>
      <w:pPr>
        <w:spacing w:after="0" w:line="13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1E1E1E"/>
        </w:rPr>
        <w:t>DOCUMENTS INCORPORATED BY REFERENCE</w:t>
      </w:r>
    </w:p>
    <w:p>
      <w:pPr>
        <w:spacing w:after="0" w:line="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6"/>
          <w:szCs w:val="16"/>
          <w:color w:val="1E1E1E"/>
        </w:rPr>
        <w:t>Portions of the registrant’s proxy statement for the 2024 annual meeting of stockholders to be filed pursuant to Regulation 14A within 120 days after the registrant’s fiscal year ended December 31, 2023, are incorporated by reference in Part III of this Form 10-K.</w:t>
      </w:r>
    </w:p>
    <w:p>
      <w:pPr>
        <w:spacing w:after="0" w:line="23" w:lineRule="exact"/>
        <w:rPr>
          <w:sz w:val="24"/>
          <w:szCs w:val="24"/>
          <w:color w:val="auto"/>
        </w:rPr>
      </w:pPr>
    </w:p>
    <w:p>
      <w:pPr>
        <w:spacing w:after="0"/>
        <w:tabs>
          <w:tab w:leader="none" w:pos="3580" w:val="left"/>
          <w:tab w:leader="none" w:pos="7180" w:val="left"/>
        </w:tabs>
        <w:rPr>
          <w:sz w:val="20"/>
          <w:szCs w:val="20"/>
          <w:color w:val="auto"/>
        </w:rPr>
      </w:pPr>
      <w:r>
        <w:rPr>
          <w:rFonts w:ascii="Times New Roman" w:cs="Times New Roman" w:eastAsia="Times New Roman" w:hAnsi="Times New Roman"/>
          <w:sz w:val="16"/>
          <w:szCs w:val="16"/>
          <w:color w:val="1E1E1E"/>
        </w:rPr>
        <w:t>Auditor Firm Id: PCAOB No. 34</w:t>
      </w:r>
      <w:r>
        <w:rPr>
          <w:sz w:val="20"/>
          <w:szCs w:val="20"/>
          <w:color w:val="auto"/>
        </w:rPr>
        <w:tab/>
      </w:r>
      <w:r>
        <w:rPr>
          <w:rFonts w:ascii="Times New Roman" w:cs="Times New Roman" w:eastAsia="Times New Roman" w:hAnsi="Times New Roman"/>
          <w:sz w:val="16"/>
          <w:szCs w:val="16"/>
          <w:color w:val="1E1E1E"/>
        </w:rPr>
        <w:t>Auditor Name: Deloitte &amp; Touche LLP</w:t>
      </w:r>
      <w:r>
        <w:rPr>
          <w:sz w:val="20"/>
          <w:szCs w:val="20"/>
          <w:color w:val="auto"/>
        </w:rPr>
        <w:tab/>
      </w:r>
      <w:r>
        <w:rPr>
          <w:rFonts w:ascii="Times New Roman" w:cs="Times New Roman" w:eastAsia="Times New Roman" w:hAnsi="Times New Roman"/>
          <w:sz w:val="15"/>
          <w:szCs w:val="15"/>
          <w:color w:val="1E1E1E"/>
        </w:rPr>
        <w:t>Auditor Location: Boston, MA</w:t>
      </w:r>
    </w:p>
    <w:p>
      <w:pPr>
        <w:sectPr>
          <w:pgSz w:w="11880" w:h="15480" w:orient="portrait"/>
          <w:cols w:equalWidth="0" w:num="1">
            <w:col w:w="10800"/>
          </w:cols>
          <w:pgMar w:left="540" w:top="821" w:right="540" w:bottom="26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1E1E1E"/>
        </w:rPr>
        <w:drawing>
          <wp:anchor simplePos="0" relativeHeight="251657728" behindDoc="1" locked="0" layoutInCell="0" allowOverlap="1">
            <wp:simplePos x="0" y="0"/>
            <wp:positionH relativeFrom="page">
              <wp:posOffset>324485</wp:posOffset>
            </wp:positionH>
            <wp:positionV relativeFrom="page">
              <wp:posOffset>589280</wp:posOffset>
            </wp:positionV>
            <wp:extent cx="689483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95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-139065</wp:posOffset>
            </wp:positionV>
            <wp:extent cx="68948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952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0" w:type="dxa"/>
            <w:vAlign w:val="bottom"/>
          </w:tcPr>
          <w:p>
            <w:pPr>
              <w:spacing w:after="0"/>
              <w:rPr>
                <w:sz w:val="17"/>
                <w:szCs w:val="17"/>
                <w:color w:val="auto"/>
              </w:rPr>
            </w:pPr>
          </w:p>
        </w:tc>
        <w:tc>
          <w:tcPr>
            <w:tcW w:w="9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1E1E1E"/>
              </w:rPr>
              <w:t>Glossary</w:t>
            </w:r>
          </w:p>
        </w:tc>
        <w:tc>
          <w:tcPr>
            <w:tcW w:w="760" w:type="dxa"/>
            <w:vAlign w:val="bottom"/>
            <w:tcBorders>
              <w:bottom w:val="single" w:sz="8" w:color="1E1E1E"/>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227"/>
        </w:trPr>
        <w:tc>
          <w:tcPr>
            <w:tcW w:w="1020" w:type="dxa"/>
            <w:vAlign w:val="bottom"/>
          </w:tcPr>
          <w:p>
            <w:pPr>
              <w:spacing w:after="0"/>
              <w:rPr>
                <w:sz w:val="19"/>
                <w:szCs w:val="19"/>
                <w:color w:val="auto"/>
              </w:rPr>
            </w:pPr>
          </w:p>
        </w:tc>
        <w:tc>
          <w:tcPr>
            <w:tcW w:w="9020" w:type="dxa"/>
            <w:vAlign w:val="bottom"/>
            <w:vMerge w:val="continue"/>
          </w:tcPr>
          <w:p>
            <w:pPr>
              <w:spacing w:after="0"/>
              <w:rPr>
                <w:sz w:val="19"/>
                <w:szCs w:val="19"/>
                <w:color w:val="auto"/>
              </w:rPr>
            </w:pPr>
          </w:p>
        </w:tc>
        <w:tc>
          <w:tcPr>
            <w:tcW w:w="7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1E1E1E"/>
              </w:rPr>
              <w:t>i</w:t>
            </w: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Cautionary Note Regarding Forward-Looking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ii</w:t>
            </w:r>
          </w:p>
        </w:tc>
        <w:tc>
          <w:tcPr>
            <w:tcW w:w="0" w:type="dxa"/>
            <w:vAlign w:val="bottom"/>
          </w:tcPr>
          <w:p>
            <w:pPr>
              <w:spacing w:after="0"/>
              <w:rPr>
                <w:sz w:val="1"/>
                <w:szCs w:val="1"/>
                <w:color w:val="auto"/>
              </w:rPr>
            </w:pPr>
          </w:p>
        </w:tc>
      </w:tr>
      <w:tr>
        <w:trPr>
          <w:trHeight w:val="268"/>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PART I</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Summary of 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iii</w:t>
            </w:r>
          </w:p>
        </w:tc>
        <w:tc>
          <w:tcPr>
            <w:tcW w:w="0" w:type="dxa"/>
            <w:vAlign w:val="bottom"/>
          </w:tcPr>
          <w:p>
            <w:pPr>
              <w:spacing w:after="0"/>
              <w:rPr>
                <w:sz w:val="1"/>
                <w:szCs w:val="1"/>
                <w:color w:val="auto"/>
              </w:rPr>
            </w:pPr>
          </w:p>
        </w:tc>
      </w:tr>
      <w:tr>
        <w:trPr>
          <w:trHeight w:val="220"/>
        </w:trPr>
        <w:tc>
          <w:tcPr>
            <w:tcW w:w="1020" w:type="dxa"/>
            <w:vAlign w:val="bottom"/>
            <w:vMerge w:val="continue"/>
          </w:tcPr>
          <w:p>
            <w:pPr>
              <w:spacing w:after="0"/>
              <w:rPr>
                <w:sz w:val="19"/>
                <w:szCs w:val="19"/>
                <w:color w:val="auto"/>
              </w:rPr>
            </w:pPr>
          </w:p>
        </w:tc>
        <w:tc>
          <w:tcPr>
            <w:tcW w:w="9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1A.</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1B.</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1C.</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2.</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3.</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0" w:type="dxa"/>
            <w:vAlign w:val="bottom"/>
          </w:tcPr>
          <w:p>
            <w:pPr>
              <w:spacing w:after="0"/>
              <w:rPr>
                <w:sz w:val="1"/>
                <w:szCs w:val="1"/>
                <w:color w:val="auto"/>
              </w:rPr>
            </w:pPr>
          </w:p>
        </w:tc>
      </w:tr>
      <w:tr>
        <w:trPr>
          <w:trHeight w:val="26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4.</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0" w:type="dxa"/>
            <w:vAlign w:val="bottom"/>
          </w:tcPr>
          <w:p>
            <w:pPr>
              <w:spacing w:after="0"/>
              <w:rPr>
                <w:sz w:val="1"/>
                <w:szCs w:val="1"/>
                <w:color w:val="auto"/>
              </w:rPr>
            </w:pPr>
          </w:p>
        </w:tc>
      </w:tr>
      <w:tr>
        <w:trPr>
          <w:trHeight w:val="464"/>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w:t>
            </w:r>
          </w:p>
        </w:tc>
        <w:tc>
          <w:tcPr>
            <w:tcW w:w="9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5.</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Market for Registrant’s Common Equity, Related Stockholder Matters, and Issuer Purchases of Equity</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6.</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Reserved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7.</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7A.</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8.</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 Financial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9A.</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9B.</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0" w:type="dxa"/>
            <w:vAlign w:val="bottom"/>
          </w:tcPr>
          <w:p>
            <w:pPr>
              <w:spacing w:after="0"/>
              <w:rPr>
                <w:sz w:val="1"/>
                <w:szCs w:val="1"/>
                <w:color w:val="auto"/>
              </w:rPr>
            </w:pPr>
          </w:p>
        </w:tc>
      </w:tr>
      <w:tr>
        <w:trPr>
          <w:trHeight w:val="26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9C.</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0" w:type="dxa"/>
            <w:vAlign w:val="bottom"/>
          </w:tcPr>
          <w:p>
            <w:pPr>
              <w:spacing w:after="0"/>
              <w:rPr>
                <w:sz w:val="1"/>
                <w:szCs w:val="1"/>
                <w:color w:val="auto"/>
              </w:rPr>
            </w:pPr>
          </w:p>
        </w:tc>
      </w:tr>
      <w:tr>
        <w:trPr>
          <w:trHeight w:val="464"/>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III</w:t>
            </w:r>
          </w:p>
        </w:tc>
        <w:tc>
          <w:tcPr>
            <w:tcW w:w="9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10.</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11.</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12.</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13.</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 Independence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268"/>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14.</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Principal Accounting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73</w:t>
            </w:r>
          </w:p>
        </w:tc>
        <w:tc>
          <w:tcPr>
            <w:tcW w:w="0" w:type="dxa"/>
            <w:vAlign w:val="bottom"/>
          </w:tcPr>
          <w:p>
            <w:pPr>
              <w:spacing w:after="0"/>
              <w:rPr>
                <w:sz w:val="1"/>
                <w:szCs w:val="1"/>
                <w:color w:val="auto"/>
              </w:rPr>
            </w:pPr>
          </w:p>
        </w:tc>
      </w:tr>
      <w:tr>
        <w:trPr>
          <w:trHeight w:val="464"/>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PART IV</w:t>
            </w:r>
          </w:p>
        </w:tc>
        <w:tc>
          <w:tcPr>
            <w:tcW w:w="9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15.</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Exhibits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w:t>
            </w:r>
          </w:p>
        </w:tc>
        <w:tc>
          <w:tcPr>
            <w:tcW w:w="0" w:type="dxa"/>
            <w:vAlign w:val="bottom"/>
          </w:tcPr>
          <w:p>
            <w:pPr>
              <w:spacing w:after="0"/>
              <w:rPr>
                <w:sz w:val="1"/>
                <w:szCs w:val="1"/>
                <w:color w:val="auto"/>
              </w:rPr>
            </w:pPr>
          </w:p>
        </w:tc>
      </w:tr>
      <w:tr>
        <w:trPr>
          <w:trHeight w:val="244"/>
        </w:trPr>
        <w:tc>
          <w:tcPr>
            <w:tcW w:w="1020" w:type="dxa"/>
            <w:vAlign w:val="bottom"/>
          </w:tcPr>
          <w:p>
            <w:pPr>
              <w:ind w:left="140"/>
              <w:spacing w:after="0"/>
              <w:rPr>
                <w:sz w:val="20"/>
                <w:szCs w:val="20"/>
                <w:color w:val="auto"/>
              </w:rPr>
            </w:pPr>
            <w:r>
              <w:rPr>
                <w:rFonts w:ascii="Times New Roman" w:cs="Times New Roman" w:eastAsia="Times New Roman" w:hAnsi="Times New Roman"/>
                <w:sz w:val="20"/>
                <w:szCs w:val="20"/>
                <w:color w:val="1E1E1E"/>
              </w:rPr>
              <w:t>Item 16.</w:t>
            </w: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76</w:t>
            </w:r>
          </w:p>
        </w:tc>
        <w:tc>
          <w:tcPr>
            <w:tcW w:w="0" w:type="dxa"/>
            <w:vAlign w:val="bottom"/>
          </w:tcPr>
          <w:p>
            <w:pPr>
              <w:spacing w:after="0"/>
              <w:rPr>
                <w:sz w:val="1"/>
                <w:szCs w:val="1"/>
                <w:color w:val="auto"/>
              </w:rPr>
            </w:pPr>
          </w:p>
        </w:tc>
      </w:tr>
      <w:tr>
        <w:trPr>
          <w:trHeight w:val="268"/>
        </w:trPr>
        <w:tc>
          <w:tcPr>
            <w:tcW w:w="1020" w:type="dxa"/>
            <w:vAlign w:val="bottom"/>
          </w:tcPr>
          <w:p>
            <w:pPr>
              <w:spacing w:after="0"/>
              <w:rPr>
                <w:sz w:val="23"/>
                <w:szCs w:val="23"/>
                <w:color w:val="auto"/>
              </w:rPr>
            </w:pPr>
          </w:p>
        </w:tc>
        <w:tc>
          <w:tcPr>
            <w:tcW w:w="90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Signatures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0" w:type="dxa"/>
            <w:vAlign w:val="bottom"/>
          </w:tcPr>
          <w:p>
            <w:pPr>
              <w:spacing w:after="0"/>
              <w:rPr>
                <w:sz w:val="1"/>
                <w:szCs w:val="1"/>
                <w:color w:val="auto"/>
              </w:rPr>
            </w:pPr>
          </w:p>
        </w:tc>
      </w:tr>
    </w:tbl>
    <w:p>
      <w:pPr>
        <w:sectPr>
          <w:pgSz w:w="11880" w:h="15480" w:orient="portrait"/>
          <w:cols w:equalWidth="0" w:num="1">
            <w:col w:w="10800"/>
          </w:cols>
          <w:pgMar w:left="540" w:top="948" w:right="5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1E1E1E"/>
        </w:rPr>
        <w:t>GLOSSARY</w:t>
      </w:r>
    </w:p>
    <w:p>
      <w:pPr>
        <w:spacing w:after="0" w:line="123" w:lineRule="exact"/>
        <w:rPr>
          <w:sz w:val="20"/>
          <w:szCs w:val="20"/>
          <w:color w:val="auto"/>
        </w:rPr>
      </w:pPr>
    </w:p>
    <w:p>
      <w:pPr>
        <w:ind w:right="200" w:firstLine="490"/>
        <w:spacing w:after="0" w:line="242" w:lineRule="auto"/>
        <w:rPr>
          <w:sz w:val="20"/>
          <w:szCs w:val="20"/>
          <w:color w:val="auto"/>
        </w:rPr>
      </w:pPr>
      <w:r>
        <w:rPr>
          <w:rFonts w:ascii="Times New Roman" w:cs="Times New Roman" w:eastAsia="Times New Roman" w:hAnsi="Times New Roman"/>
          <w:sz w:val="20"/>
          <w:szCs w:val="20"/>
          <w:color w:val="1E1E1E"/>
        </w:rPr>
        <w:t>As used in this Annual Report on Form 10-K, the terms identified below have the meanings specified below unless otherwise noted or the context indicates otherwise. References in this Form 10-K to “Definitive Healthcare Corp.” refer to Definitive Healthcare Corp. and not to any of its subsidiaries unless the context indicates otherwise. References in this Form 10-K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1" w:lineRule="exact"/>
        <w:rPr>
          <w:sz w:val="20"/>
          <w:szCs w:val="20"/>
          <w:color w:val="auto"/>
        </w:rPr>
      </w:pPr>
    </w:p>
    <w:p>
      <w:pPr>
        <w:ind w:left="980" w:hanging="483"/>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Advent</w:t>
      </w:r>
      <w:r>
        <w:rPr>
          <w:rFonts w:ascii="Times New Roman" w:cs="Times New Roman" w:eastAsia="Times New Roman" w:hAnsi="Times New Roman"/>
          <w:sz w:val="20"/>
          <w:szCs w:val="20"/>
          <w:color w:val="1E1E1E"/>
        </w:rPr>
        <w:t>” refers to funds affiliated with Advent International, a global private equity firm.</w:t>
      </w:r>
    </w:p>
    <w:p>
      <w:pPr>
        <w:spacing w:after="0" w:line="13" w:lineRule="exact"/>
        <w:rPr>
          <w:rFonts w:ascii="Arial" w:cs="Arial" w:eastAsia="Arial" w:hAnsi="Arial"/>
          <w:sz w:val="20"/>
          <w:szCs w:val="20"/>
          <w:color w:val="1E1E1E"/>
        </w:rPr>
      </w:pPr>
    </w:p>
    <w:p>
      <w:pPr>
        <w:jc w:val="both"/>
        <w:ind w:left="980" w:right="20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Advent Acquisition</w:t>
      </w:r>
      <w:r>
        <w:rPr>
          <w:rFonts w:ascii="Times New Roman" w:cs="Times New Roman" w:eastAsia="Times New Roman" w:hAnsi="Times New Roman"/>
          <w:sz w:val="20"/>
          <w:szCs w:val="20"/>
          <w:color w:val="1E1E1E"/>
        </w:rPr>
        <w:t>” refers to the purchase of a majority of the issued and outstanding units of DH Holdings by Advent in 2019. The acquisition was accounted for as a business combination with purchase accounting applied.</w:t>
      </w:r>
    </w:p>
    <w:p>
      <w:pPr>
        <w:ind w:left="98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AIDH Buyer</w:t>
      </w:r>
      <w:r>
        <w:rPr>
          <w:rFonts w:ascii="Times New Roman" w:cs="Times New Roman" w:eastAsia="Times New Roman" w:hAnsi="Times New Roman"/>
          <w:sz w:val="20"/>
          <w:szCs w:val="20"/>
          <w:color w:val="1E1E1E"/>
        </w:rPr>
        <w:t>” refers to AIDH Buyer, LLC, which is a wholly owned subsidiary of Definitive OpCo and the direct parent company of DH Holdings.</w:t>
      </w:r>
    </w:p>
    <w:p>
      <w:pPr>
        <w:ind w:left="980" w:right="380" w:hanging="483"/>
        <w:spacing w:after="0" w:line="244"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Amended LLC Agreement</w:t>
      </w:r>
      <w:r>
        <w:rPr>
          <w:rFonts w:ascii="Times New Roman" w:cs="Times New Roman" w:eastAsia="Times New Roman" w:hAnsi="Times New Roman"/>
          <w:sz w:val="20"/>
          <w:szCs w:val="20"/>
          <w:color w:val="1E1E1E"/>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spacing w:after="0" w:line="1" w:lineRule="exact"/>
        <w:rPr>
          <w:rFonts w:ascii="Arial" w:cs="Arial" w:eastAsia="Arial" w:hAnsi="Arial"/>
          <w:sz w:val="20"/>
          <w:szCs w:val="20"/>
          <w:color w:val="1E1E1E"/>
        </w:rPr>
      </w:pPr>
    </w:p>
    <w:p>
      <w:pPr>
        <w:ind w:left="980" w:right="60" w:hanging="483"/>
        <w:spacing w:after="0" w:line="244"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ARR</w:t>
      </w:r>
      <w:r>
        <w:rPr>
          <w:rFonts w:ascii="Times New Roman" w:cs="Times New Roman" w:eastAsia="Times New Roman" w:hAnsi="Times New Roman"/>
          <w:sz w:val="20"/>
          <w:szCs w:val="20"/>
          <w:color w:val="1E1E1E"/>
        </w:rPr>
        <w:t>”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1" w:lineRule="exact"/>
        <w:rPr>
          <w:rFonts w:ascii="Arial" w:cs="Arial" w:eastAsia="Arial" w:hAnsi="Arial"/>
          <w:sz w:val="20"/>
          <w:szCs w:val="20"/>
          <w:color w:val="1E1E1E"/>
        </w:rPr>
      </w:pPr>
    </w:p>
    <w:p>
      <w:pPr>
        <w:ind w:left="980" w:right="80" w:hanging="483"/>
        <w:spacing w:after="0" w:line="244"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Blocker Company</w:t>
      </w:r>
      <w:r>
        <w:rPr>
          <w:rFonts w:ascii="Times New Roman" w:cs="Times New Roman" w:eastAsia="Times New Roman" w:hAnsi="Times New Roman"/>
          <w:sz w:val="20"/>
          <w:szCs w:val="20"/>
          <w:color w:val="1E1E1E"/>
        </w:rPr>
        <w:t>” or “</w:t>
      </w:r>
      <w:r>
        <w:rPr>
          <w:rFonts w:ascii="Times New Roman" w:cs="Times New Roman" w:eastAsia="Times New Roman" w:hAnsi="Times New Roman"/>
          <w:sz w:val="20"/>
          <w:szCs w:val="20"/>
          <w:u w:val="single" w:color="auto"/>
          <w:color w:val="1E1E1E"/>
        </w:rPr>
        <w:t>Blocker Companies</w:t>
      </w:r>
      <w:r>
        <w:rPr>
          <w:rFonts w:ascii="Times New Roman" w:cs="Times New Roman" w:eastAsia="Times New Roman" w:hAnsi="Times New Roman"/>
          <w:sz w:val="20"/>
          <w:szCs w:val="20"/>
          <w:color w:val="1E1E1E"/>
        </w:rPr>
        <w:t>” refers to certain entities treated as corporations for U.S. federal income tax purposes, as defined within Note 1 to our audited consolidated financial statements included in Part II, Item 8 of this Form 10-K.</w:t>
      </w:r>
    </w:p>
    <w:p>
      <w:pPr>
        <w:spacing w:after="0" w:line="1" w:lineRule="exact"/>
        <w:rPr>
          <w:rFonts w:ascii="Arial" w:cs="Arial" w:eastAsia="Arial" w:hAnsi="Arial"/>
          <w:sz w:val="20"/>
          <w:szCs w:val="20"/>
          <w:color w:val="1E1E1E"/>
        </w:rPr>
      </w:pPr>
    </w:p>
    <w:p>
      <w:pPr>
        <w:ind w:left="980" w:right="20" w:hanging="483"/>
        <w:spacing w:after="0" w:line="244"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Continuing Pre-IPO LLC Members</w:t>
      </w:r>
      <w:r>
        <w:rPr>
          <w:rFonts w:ascii="Times New Roman" w:cs="Times New Roman" w:eastAsia="Times New Roman" w:hAnsi="Times New Roman"/>
          <w:sz w:val="20"/>
          <w:szCs w:val="20"/>
          <w:color w:val="1E1E1E"/>
        </w:rPr>
        <w:t>” refers to certain Pre-IPO LLC Members who retained their equity ownership in Definitive OpCo in the form of LLC Units immediately following the consummation of the Reorganization Transactions.</w:t>
      </w:r>
    </w:p>
    <w:p>
      <w:pPr>
        <w:spacing w:after="0" w:line="1" w:lineRule="exact"/>
        <w:rPr>
          <w:rFonts w:ascii="Arial" w:cs="Arial" w:eastAsia="Arial" w:hAnsi="Arial"/>
          <w:sz w:val="20"/>
          <w:szCs w:val="20"/>
          <w:color w:val="1E1E1E"/>
        </w:rPr>
      </w:pPr>
    </w:p>
    <w:p>
      <w:pPr>
        <w:ind w:left="980" w:right="66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Definitive OpCo</w:t>
      </w:r>
      <w:r>
        <w:rPr>
          <w:rFonts w:ascii="Times New Roman" w:cs="Times New Roman" w:eastAsia="Times New Roman" w:hAnsi="Times New Roman"/>
          <w:sz w:val="20"/>
          <w:szCs w:val="20"/>
          <w:color w:val="1E1E1E"/>
        </w:rPr>
        <w:t>” refers to AIDH TopCo, LLC, a Delaware limited liability company, and a subsidiary of Definitive Healthcare Corp., following the Reorganization Transactions.</w:t>
      </w:r>
    </w:p>
    <w:p>
      <w:pPr>
        <w:ind w:left="980" w:right="20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DH Holdings</w:t>
      </w:r>
      <w:r>
        <w:rPr>
          <w:rFonts w:ascii="Times New Roman" w:cs="Times New Roman" w:eastAsia="Times New Roman" w:hAnsi="Times New Roman"/>
          <w:sz w:val="20"/>
          <w:szCs w:val="20"/>
          <w:color w:val="1E1E1E"/>
        </w:rPr>
        <w:t>” refers to Definitive Healthcare Holdings, LLC, a Delaware limited liability company and wholly owned subsidiary of AIDH Buyer.</w:t>
      </w:r>
    </w:p>
    <w:p>
      <w:pPr>
        <w:ind w:left="980" w:hanging="483"/>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LLC Units</w:t>
      </w:r>
      <w:r>
        <w:rPr>
          <w:rFonts w:ascii="Times New Roman" w:cs="Times New Roman" w:eastAsia="Times New Roman" w:hAnsi="Times New Roman"/>
          <w:sz w:val="20"/>
          <w:szCs w:val="20"/>
          <w:color w:val="1E1E1E"/>
        </w:rPr>
        <w:t>” refers to limited liability company interests in Definitive OpCo.</w:t>
      </w:r>
    </w:p>
    <w:p>
      <w:pPr>
        <w:spacing w:after="0" w:line="13" w:lineRule="exact"/>
        <w:rPr>
          <w:rFonts w:ascii="Arial" w:cs="Arial" w:eastAsia="Arial" w:hAnsi="Arial"/>
          <w:sz w:val="20"/>
          <w:szCs w:val="20"/>
          <w:color w:val="1E1E1E"/>
        </w:rPr>
      </w:pPr>
    </w:p>
    <w:p>
      <w:pPr>
        <w:ind w:left="980" w:right="20" w:hanging="483"/>
        <w:spacing w:after="0" w:line="242"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LTV</w:t>
      </w:r>
      <w:r>
        <w:rPr>
          <w:rFonts w:ascii="Times New Roman" w:cs="Times New Roman" w:eastAsia="Times New Roman" w:hAnsi="Times New Roman"/>
          <w:sz w:val="20"/>
          <w:szCs w:val="20"/>
          <w:color w:val="1E1E1E"/>
        </w:rPr>
        <w:t>”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3" w:lineRule="exact"/>
        <w:rPr>
          <w:rFonts w:ascii="Arial" w:cs="Arial" w:eastAsia="Arial" w:hAnsi="Arial"/>
          <w:sz w:val="20"/>
          <w:szCs w:val="20"/>
          <w:color w:val="1E1E1E"/>
        </w:rPr>
      </w:pPr>
    </w:p>
    <w:p>
      <w:pPr>
        <w:ind w:left="980" w:hanging="483"/>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IPO</w:t>
      </w:r>
      <w:r>
        <w:rPr>
          <w:rFonts w:ascii="Times New Roman" w:cs="Times New Roman" w:eastAsia="Times New Roman" w:hAnsi="Times New Roman"/>
          <w:sz w:val="20"/>
          <w:szCs w:val="20"/>
          <w:color w:val="1E1E1E"/>
        </w:rPr>
        <w:t>” refers to the initial public offering of Class A Common Stock of Definitive Healthcare Corp.</w:t>
      </w:r>
    </w:p>
    <w:p>
      <w:pPr>
        <w:spacing w:after="0" w:line="13" w:lineRule="exact"/>
        <w:rPr>
          <w:rFonts w:ascii="Arial" w:cs="Arial" w:eastAsia="Arial" w:hAnsi="Arial"/>
          <w:sz w:val="20"/>
          <w:szCs w:val="20"/>
          <w:color w:val="1E1E1E"/>
        </w:rPr>
      </w:pPr>
    </w:p>
    <w:p>
      <w:pPr>
        <w:ind w:left="980" w:right="160" w:hanging="483"/>
        <w:spacing w:after="0" w:line="242"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NDR</w:t>
      </w:r>
      <w:r>
        <w:rPr>
          <w:rFonts w:ascii="Times New Roman" w:cs="Times New Roman" w:eastAsia="Times New Roman" w:hAnsi="Times New Roman"/>
          <w:sz w:val="20"/>
          <w:szCs w:val="20"/>
          <w:color w:val="1E1E1E"/>
        </w:rPr>
        <w:t>” or “</w:t>
      </w:r>
      <w:r>
        <w:rPr>
          <w:rFonts w:ascii="Times New Roman" w:cs="Times New Roman" w:eastAsia="Times New Roman" w:hAnsi="Times New Roman"/>
          <w:sz w:val="20"/>
          <w:szCs w:val="20"/>
          <w:u w:val="single" w:color="auto"/>
          <w:color w:val="1E1E1E"/>
        </w:rPr>
        <w:t>Net Dollar Retention Rate</w:t>
      </w:r>
      <w:r>
        <w:rPr>
          <w:rFonts w:ascii="Times New Roman" w:cs="Times New Roman" w:eastAsia="Times New Roman" w:hAnsi="Times New Roman"/>
          <w:sz w:val="20"/>
          <w:szCs w:val="20"/>
          <w:color w:val="1E1E1E"/>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3" w:lineRule="exact"/>
        <w:rPr>
          <w:rFonts w:ascii="Arial" w:cs="Arial" w:eastAsia="Arial" w:hAnsi="Arial"/>
          <w:sz w:val="20"/>
          <w:szCs w:val="20"/>
          <w:color w:val="1E1E1E"/>
        </w:rPr>
      </w:pPr>
    </w:p>
    <w:p>
      <w:pPr>
        <w:ind w:left="980" w:hanging="483"/>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Populi</w:t>
      </w:r>
      <w:r>
        <w:rPr>
          <w:rFonts w:ascii="Times New Roman" w:cs="Times New Roman" w:eastAsia="Times New Roman" w:hAnsi="Times New Roman"/>
          <w:sz w:val="20"/>
          <w:szCs w:val="20"/>
          <w:color w:val="1E1E1E"/>
        </w:rPr>
        <w:t>” refers to Populi, Inc., a Delaware corporation.</w:t>
      </w:r>
    </w:p>
    <w:p>
      <w:pPr>
        <w:spacing w:after="0" w:line="13" w:lineRule="exact"/>
        <w:rPr>
          <w:rFonts w:ascii="Arial" w:cs="Arial" w:eastAsia="Arial" w:hAnsi="Arial"/>
          <w:sz w:val="20"/>
          <w:szCs w:val="20"/>
          <w:color w:val="1E1E1E"/>
        </w:rPr>
      </w:pPr>
    </w:p>
    <w:p>
      <w:pPr>
        <w:ind w:left="980" w:right="560" w:hanging="483"/>
        <w:spacing w:after="0" w:line="244"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Pre-IPO LLC Members</w:t>
      </w:r>
      <w:r>
        <w:rPr>
          <w:rFonts w:ascii="Times New Roman" w:cs="Times New Roman" w:eastAsia="Times New Roman" w:hAnsi="Times New Roman"/>
          <w:sz w:val="20"/>
          <w:szCs w:val="20"/>
          <w:color w:val="1E1E1E"/>
        </w:rPr>
        <w:t>” 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spacing w:after="0" w:line="1" w:lineRule="exact"/>
        <w:rPr>
          <w:rFonts w:ascii="Arial" w:cs="Arial" w:eastAsia="Arial" w:hAnsi="Arial"/>
          <w:sz w:val="20"/>
          <w:szCs w:val="20"/>
          <w:color w:val="1E1E1E"/>
        </w:rPr>
      </w:pPr>
    </w:p>
    <w:p>
      <w:pPr>
        <w:ind w:left="980" w:right="26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Reorganization Parties</w:t>
      </w:r>
      <w:r>
        <w:rPr>
          <w:rFonts w:ascii="Times New Roman" w:cs="Times New Roman" w:eastAsia="Times New Roman" w:hAnsi="Times New Roman"/>
          <w:sz w:val="20"/>
          <w:szCs w:val="20"/>
          <w:color w:val="1E1E1E"/>
        </w:rPr>
        <w:t>” refers to the shareholders of the Blocker Companies prior to the merger of the Blocker Companies into Definitive Healthcare Corp.</w:t>
      </w:r>
    </w:p>
    <w:p>
      <w:pPr>
        <w:ind w:left="980" w:right="10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Reorganization Transactions</w:t>
      </w:r>
      <w:r>
        <w:rPr>
          <w:rFonts w:ascii="Times New Roman" w:cs="Times New Roman" w:eastAsia="Times New Roman" w:hAnsi="Times New Roman"/>
          <w:sz w:val="20"/>
          <w:szCs w:val="20"/>
          <w:color w:val="1E1E1E"/>
        </w:rPr>
        <w:t>” refers to transactions completed in connection with the Company’s IPO as defined within Note 1 to our audited consolidated financial statements included in Part II, Item 8 of this Form 10-K.</w:t>
      </w:r>
    </w:p>
    <w:p>
      <w:pPr>
        <w:ind w:left="98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Spectrum Equity</w:t>
      </w:r>
      <w:r>
        <w:rPr>
          <w:rFonts w:ascii="Times New Roman" w:cs="Times New Roman" w:eastAsia="Times New Roman" w:hAnsi="Times New Roman"/>
          <w:sz w:val="20"/>
          <w:szCs w:val="20"/>
          <w:color w:val="1E1E1E"/>
        </w:rPr>
        <w:t>” refers to investment funds associated with Spectrum Equity Management, L.P., a private equity firm.</w:t>
      </w:r>
    </w:p>
    <w:p>
      <w:pPr>
        <w:ind w:left="980" w:hanging="483"/>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Sponsors</w:t>
      </w:r>
      <w:r>
        <w:rPr>
          <w:rFonts w:ascii="Times New Roman" w:cs="Times New Roman" w:eastAsia="Times New Roman" w:hAnsi="Times New Roman"/>
          <w:sz w:val="20"/>
          <w:szCs w:val="20"/>
          <w:color w:val="1E1E1E"/>
        </w:rPr>
        <w:t>” refers collectively to Advent, 22C Capital, and Spectrum Equity.</w:t>
      </w:r>
    </w:p>
    <w:p>
      <w:pPr>
        <w:spacing w:after="0" w:line="13" w:lineRule="exact"/>
        <w:rPr>
          <w:rFonts w:ascii="Arial" w:cs="Arial" w:eastAsia="Arial" w:hAnsi="Arial"/>
          <w:sz w:val="20"/>
          <w:szCs w:val="20"/>
          <w:color w:val="1E1E1E"/>
        </w:rPr>
      </w:pPr>
    </w:p>
    <w:p>
      <w:pPr>
        <w:ind w:left="980" w:right="66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Tax Receivable Agreement</w:t>
      </w:r>
      <w:r>
        <w:rPr>
          <w:rFonts w:ascii="Times New Roman" w:cs="Times New Roman" w:eastAsia="Times New Roman" w:hAnsi="Times New Roman"/>
          <w:sz w:val="20"/>
          <w:szCs w:val="20"/>
          <w:color w:val="1E1E1E"/>
        </w:rPr>
        <w:t>” refers to the Tax Receivable Agreement, dated September 14, 2021, between Definitive Healthcare Corp., Definitive OpCo, and the TRA Parties.</w:t>
      </w:r>
    </w:p>
    <w:p>
      <w:pPr>
        <w:ind w:left="980" w:right="20" w:hanging="483"/>
        <w:spacing w:after="0" w:line="247" w:lineRule="auto"/>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TRA Parties</w:t>
      </w:r>
      <w:r>
        <w:rPr>
          <w:rFonts w:ascii="Times New Roman" w:cs="Times New Roman" w:eastAsia="Times New Roman" w:hAnsi="Times New Roman"/>
          <w:sz w:val="20"/>
          <w:szCs w:val="20"/>
          <w:color w:val="1E1E1E"/>
        </w:rPr>
        <w:t>” refers to the Continuing Pre-IPO LLC Members, the Reorganization Parties, and any future party to the Tax Receivable Agreement.</w:t>
      </w:r>
    </w:p>
    <w:p>
      <w:pPr>
        <w:ind w:left="980" w:hanging="483"/>
        <w:spacing w:after="0"/>
        <w:tabs>
          <w:tab w:leader="none" w:pos="980" w:val="left"/>
        </w:tabs>
        <w:numPr>
          <w:ilvl w:val="0"/>
          <w:numId w:val="3"/>
        </w:numPr>
        <w:rPr>
          <w:rFonts w:ascii="Arial" w:cs="Arial" w:eastAsia="Arial" w:hAnsi="Arial"/>
          <w:sz w:val="20"/>
          <w:szCs w:val="20"/>
          <w:color w:val="1E1E1E"/>
        </w:rPr>
      </w:pP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1E1E1E"/>
        </w:rPr>
        <w:t>22C Capital</w:t>
      </w:r>
      <w:r>
        <w:rPr>
          <w:rFonts w:ascii="Times New Roman" w:cs="Times New Roman" w:eastAsia="Times New Roman" w:hAnsi="Times New Roman"/>
          <w:sz w:val="20"/>
          <w:szCs w:val="20"/>
          <w:color w:val="1E1E1E"/>
        </w:rPr>
        <w:t>” refers to investment funds associated with 22C Capital LLC, a private equity firm.</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i</w:t>
      </w:r>
    </w:p>
    <w:p>
      <w:pPr>
        <w:sectPr>
          <w:pgSz w:w="11880" w:h="15480" w:orient="portrait"/>
          <w:cols w:equalWidth="0" w:num="1">
            <w:col w:w="10200"/>
          </w:cols>
          <w:pgMar w:left="820" w:top="803" w:right="860" w:bottom="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CAUTIONARY NOTE REGARDING FORWARD-LOOKING STATEMENTS</w:t>
      </w:r>
    </w:p>
    <w:p>
      <w:pPr>
        <w:spacing w:after="0" w:line="233" w:lineRule="exact"/>
        <w:rPr>
          <w:sz w:val="20"/>
          <w:szCs w:val="20"/>
          <w:color w:val="auto"/>
        </w:rPr>
      </w:pPr>
    </w:p>
    <w:p>
      <w:pPr>
        <w:ind w:firstLine="490"/>
        <w:spacing w:after="0" w:line="266" w:lineRule="auto"/>
        <w:rPr>
          <w:sz w:val="20"/>
          <w:szCs w:val="20"/>
          <w:color w:val="auto"/>
        </w:rPr>
      </w:pPr>
      <w:r>
        <w:rPr>
          <w:rFonts w:ascii="Times New Roman" w:cs="Times New Roman" w:eastAsia="Times New Roman" w:hAnsi="Times New Roman"/>
          <w:sz w:val="19"/>
          <w:szCs w:val="19"/>
          <w:color w:val="1E1E1E"/>
        </w:rPr>
        <w:t>This Annual Report on Form 10-K (this “Annual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6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Annual Report, including under “Risk Factors” and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ii</w:t>
      </w:r>
    </w:p>
    <w:p>
      <w:pPr>
        <w:sectPr>
          <w:pgSz w:w="11880" w:h="15480" w:orient="portrait"/>
          <w:cols w:equalWidth="0" w:num="1">
            <w:col w:w="10220"/>
          </w:cols>
          <w:pgMar w:left="820" w:top="803" w:right="840" w:bottom="0" w:gutter="0" w:footer="0" w:header="0"/>
          <w:type w:val="continuous"/>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20"/>
          <w:szCs w:val="20"/>
          <w:b w:val="1"/>
          <w:bCs w:val="1"/>
          <w:color w:val="1E1E1E"/>
        </w:rPr>
        <w:t>SUMMARY OF RISK FACTORS</w:t>
      </w:r>
    </w:p>
    <w:p>
      <w:pPr>
        <w:spacing w:after="0" w:line="233" w:lineRule="exact"/>
        <w:rPr>
          <w:sz w:val="20"/>
          <w:szCs w:val="20"/>
          <w:color w:val="auto"/>
        </w:rPr>
      </w:pPr>
    </w:p>
    <w:p>
      <w:pPr>
        <w:jc w:val="both"/>
        <w:ind w:right="80" w:firstLine="490"/>
        <w:spacing w:after="0" w:line="259" w:lineRule="auto"/>
        <w:rPr>
          <w:sz w:val="20"/>
          <w:szCs w:val="20"/>
          <w:color w:val="auto"/>
        </w:rPr>
      </w:pPr>
      <w:r>
        <w:rPr>
          <w:rFonts w:ascii="Times New Roman" w:cs="Times New Roman" w:eastAsia="Times New Roman" w:hAnsi="Times New Roman"/>
          <w:sz w:val="20"/>
          <w:szCs w:val="20"/>
          <w:color w:val="1E1E1E"/>
        </w:rPr>
        <w:t>The following is a summary of the principal risks that may materially adversely affect our business, financial condition, results of operations and cash flows. The following is a summary only, and should be read in conjunction with Part I, Item 1A “Risk Factors” and the other information contained in this Annual Report.</w:t>
      </w:r>
    </w:p>
    <w:p>
      <w:pPr>
        <w:spacing w:after="0" w:line="189" w:lineRule="exact"/>
        <w:rPr>
          <w:sz w:val="20"/>
          <w:szCs w:val="20"/>
          <w:color w:val="auto"/>
        </w:rPr>
      </w:pPr>
    </w:p>
    <w:p>
      <w:pPr>
        <w:ind w:left="720" w:right="20" w:hanging="405"/>
        <w:spacing w:after="0" w:line="27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inability to generate sales of subscriptions to our platform or any decline in demand for our platform and the data we offer could have a material adverse effect on our business, financial condition and results of operations;</w:t>
      </w:r>
    </w:p>
    <w:p>
      <w:pPr>
        <w:spacing w:after="0" w:line="77" w:lineRule="exact"/>
        <w:rPr>
          <w:rFonts w:ascii="Times New Roman" w:cs="Times New Roman" w:eastAsia="Times New Roman" w:hAnsi="Times New Roman"/>
          <w:sz w:val="20"/>
          <w:szCs w:val="20"/>
          <w:color w:val="1E1E1E"/>
        </w:rPr>
      </w:pPr>
    </w:p>
    <w:p>
      <w:pPr>
        <w:ind w:left="740" w:right="340" w:hanging="419"/>
        <w:spacing w:after="0" w:line="279" w:lineRule="auto"/>
        <w:tabs>
          <w:tab w:leader="none" w:pos="74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inability to attract new customers and expand subscriptions of current customers could negatively impact our revenue growth and financial performance;</w:t>
      </w:r>
    </w:p>
    <w:p>
      <w:pPr>
        <w:spacing w:after="0" w:line="77" w:lineRule="exact"/>
        <w:rPr>
          <w:rFonts w:ascii="Times New Roman" w:cs="Times New Roman" w:eastAsia="Times New Roman" w:hAnsi="Times New Roman"/>
          <w:sz w:val="20"/>
          <w:szCs w:val="20"/>
          <w:color w:val="1E1E1E"/>
        </w:rPr>
      </w:pPr>
    </w:p>
    <w:p>
      <w:pPr>
        <w:ind w:left="740" w:hanging="419"/>
        <w:spacing w:after="0" w:line="279" w:lineRule="auto"/>
        <w:tabs>
          <w:tab w:leader="none" w:pos="74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market in which we operate is competitive, and if we do not compete effectively, it could have a material adverse effect on our business, financial condition and results of operations;</w:t>
      </w:r>
    </w:p>
    <w:p>
      <w:pPr>
        <w:spacing w:after="0" w:line="77" w:lineRule="exact"/>
        <w:rPr>
          <w:rFonts w:ascii="Times New Roman" w:cs="Times New Roman" w:eastAsia="Times New Roman" w:hAnsi="Times New Roman"/>
          <w:sz w:val="20"/>
          <w:szCs w:val="20"/>
          <w:color w:val="1E1E1E"/>
        </w:rPr>
      </w:pPr>
    </w:p>
    <w:p>
      <w:pPr>
        <w:ind w:left="720" w:right="100" w:hanging="405"/>
        <w:spacing w:after="0" w:line="27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fail to maintain and improve our platform, or develop new modules, functionality, or insights for healthcare commercial intelligence, whereby competitors could surpass the depth, breadth or accuracy of our platform;</w:t>
      </w:r>
    </w:p>
    <w:p>
      <w:pPr>
        <w:spacing w:after="0" w:line="77" w:lineRule="exact"/>
        <w:rPr>
          <w:rFonts w:ascii="Times New Roman" w:cs="Times New Roman" w:eastAsia="Times New Roman" w:hAnsi="Times New Roman"/>
          <w:sz w:val="20"/>
          <w:szCs w:val="20"/>
          <w:color w:val="1E1E1E"/>
        </w:rPr>
      </w:pPr>
    </w:p>
    <w:p>
      <w:pPr>
        <w:ind w:left="740" w:right="340" w:hanging="419"/>
        <w:spacing w:after="0" w:line="279" w:lineRule="auto"/>
        <w:tabs>
          <w:tab w:leader="none" w:pos="74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unable to obtain and maintain accurate, comprehensive or reliable data, which could result in reduced demand for our platform;</w:t>
      </w:r>
    </w:p>
    <w:p>
      <w:pPr>
        <w:spacing w:after="0" w:line="77" w:lineRule="exact"/>
        <w:rPr>
          <w:rFonts w:ascii="Times New Roman" w:cs="Times New Roman" w:eastAsia="Times New Roman" w:hAnsi="Times New Roman"/>
          <w:sz w:val="20"/>
          <w:szCs w:val="20"/>
          <w:color w:val="1E1E1E"/>
        </w:rPr>
      </w:pPr>
    </w:p>
    <w:p>
      <w:pPr>
        <w:ind w:left="740" w:hanging="419"/>
        <w:spacing w:after="0"/>
        <w:tabs>
          <w:tab w:leader="none" w:pos="74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recent growth rates may not be indicative of our future growth;</w:t>
      </w:r>
    </w:p>
    <w:p>
      <w:pPr>
        <w:spacing w:after="0" w:line="151" w:lineRule="exact"/>
        <w:rPr>
          <w:rFonts w:ascii="Times New Roman" w:cs="Times New Roman" w:eastAsia="Times New Roman" w:hAnsi="Times New Roman"/>
          <w:sz w:val="20"/>
          <w:szCs w:val="20"/>
          <w:color w:val="1E1E1E"/>
        </w:rPr>
      </w:pPr>
    </w:p>
    <w:p>
      <w:pPr>
        <w:ind w:left="720" w:right="660" w:hanging="401"/>
        <w:spacing w:after="0" w:line="27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be unable to achieve or sustain profitability in the future compared to historical levels as we increase investments in our business;</w:t>
      </w:r>
    </w:p>
    <w:p>
      <w:pPr>
        <w:spacing w:after="0" w:line="77" w:lineRule="exact"/>
        <w:rPr>
          <w:rFonts w:ascii="Times New Roman" w:cs="Times New Roman" w:eastAsia="Times New Roman" w:hAnsi="Times New Roman"/>
          <w:sz w:val="20"/>
          <w:szCs w:val="20"/>
          <w:color w:val="1E1E1E"/>
        </w:rPr>
      </w:pPr>
    </w:p>
    <w:p>
      <w:pPr>
        <w:ind w:left="740" w:right="100" w:hanging="419"/>
        <w:spacing w:after="0" w:line="279" w:lineRule="auto"/>
        <w:tabs>
          <w:tab w:leader="none" w:pos="74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Any loss of our access to our data providers could negatively impact our platform and have a material adverse effect on our business, financial condition and results of operations;</w:t>
      </w:r>
    </w:p>
    <w:p>
      <w:pPr>
        <w:spacing w:after="0" w:line="77" w:lineRule="exact"/>
        <w:rPr>
          <w:rFonts w:ascii="Times New Roman" w:cs="Times New Roman" w:eastAsia="Times New Roman" w:hAnsi="Times New Roman"/>
          <w:sz w:val="20"/>
          <w:szCs w:val="20"/>
          <w:color w:val="1E1E1E"/>
        </w:rPr>
      </w:pPr>
    </w:p>
    <w:p>
      <w:pPr>
        <w:ind w:left="720" w:right="740" w:hanging="405"/>
        <w:spacing w:after="0" w:line="27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fail to respond to advances in healthcare commercial intelligence, which could result in competitors surpassing the depth, breadth or accuracy of our platform;</w:t>
      </w:r>
    </w:p>
    <w:p>
      <w:pPr>
        <w:spacing w:after="0" w:line="77" w:lineRule="exact"/>
        <w:rPr>
          <w:rFonts w:ascii="Times New Roman" w:cs="Times New Roman" w:eastAsia="Times New Roman" w:hAnsi="Times New Roman"/>
          <w:sz w:val="20"/>
          <w:szCs w:val="20"/>
          <w:color w:val="1E1E1E"/>
        </w:rPr>
      </w:pPr>
    </w:p>
    <w:p>
      <w:pPr>
        <w:ind w:left="720" w:right="500" w:hanging="405"/>
        <w:spacing w:after="0" w:line="25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If our information technology systems or those of third parties upon which we rely, or our data are or were compromised, we could experience material adverse effects on our reputation, business, financial condition and results of operations;</w:t>
      </w:r>
    </w:p>
    <w:p>
      <w:pPr>
        <w:spacing w:after="0" w:line="97" w:lineRule="exact"/>
        <w:rPr>
          <w:rFonts w:ascii="Times New Roman" w:cs="Times New Roman" w:eastAsia="Times New Roman" w:hAnsi="Times New Roman"/>
          <w:sz w:val="20"/>
          <w:szCs w:val="20"/>
          <w:color w:val="1E1E1E"/>
        </w:rPr>
      </w:pPr>
    </w:p>
    <w:p>
      <w:pPr>
        <w:jc w:val="both"/>
        <w:ind w:left="720" w:right="540" w:hanging="405"/>
        <w:spacing w:after="0" w:line="25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war between Russia and Ukraine, the evolving conflict in Israel and surrounding areas, global geopolitical tension, and worsening global macroeconomic conditions could have a material adverse effect on our business, financial condition, and results of operations;</w:t>
      </w:r>
    </w:p>
    <w:p>
      <w:pPr>
        <w:spacing w:after="0" w:line="98" w:lineRule="exact"/>
        <w:rPr>
          <w:rFonts w:ascii="Times New Roman" w:cs="Times New Roman" w:eastAsia="Times New Roman" w:hAnsi="Times New Roman"/>
          <w:sz w:val="20"/>
          <w:szCs w:val="20"/>
          <w:color w:val="1E1E1E"/>
        </w:rPr>
      </w:pPr>
    </w:p>
    <w:p>
      <w:pPr>
        <w:ind w:left="720" w:right="500" w:hanging="401"/>
        <w:spacing w:after="0" w:line="25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If our security measures are breached or unauthorized access to data is otherwise obtained, our platform may be perceived as not being secure, customers may reduce the use of or stop using our platform, and we may incur significant liabilities;</w:t>
      </w:r>
    </w:p>
    <w:p>
      <w:pPr>
        <w:spacing w:after="0" w:line="96" w:lineRule="exact"/>
        <w:rPr>
          <w:rFonts w:ascii="Times New Roman" w:cs="Times New Roman" w:eastAsia="Times New Roman" w:hAnsi="Times New Roman"/>
          <w:sz w:val="20"/>
          <w:szCs w:val="20"/>
          <w:color w:val="1E1E1E"/>
        </w:rPr>
      </w:pPr>
    </w:p>
    <w:p>
      <w:pPr>
        <w:ind w:left="720" w:right="40" w:hanging="401"/>
        <w:spacing w:after="0" w:line="247"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previously identified a material weakness in our internal control over financial reporting and we are working to remediate it. Consequently, our management has concluded that our disclosure controls and procedures were not effective as of the end of the period covered by this report.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 and</w:t>
      </w:r>
    </w:p>
    <w:p>
      <w:pPr>
        <w:spacing w:after="0" w:line="111" w:lineRule="exact"/>
        <w:rPr>
          <w:rFonts w:ascii="Times New Roman" w:cs="Times New Roman" w:eastAsia="Times New Roman" w:hAnsi="Times New Roman"/>
          <w:sz w:val="20"/>
          <w:szCs w:val="20"/>
          <w:color w:val="1E1E1E"/>
        </w:rPr>
      </w:pPr>
    </w:p>
    <w:p>
      <w:pPr>
        <w:ind w:left="720" w:right="140" w:hanging="401"/>
        <w:spacing w:after="0" w:line="279"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Our results of operations may be harmed if we are required to collect sales or other related taxes for subscriptions to our platform in jurisdictions where we have not historically done so.</w:t>
      </w:r>
    </w:p>
    <w:p>
      <w:pPr>
        <w:sectPr>
          <w:pgSz w:w="11880" w:h="15480" w:orient="portrait"/>
          <w:cols w:equalWidth="0" w:num="1">
            <w:col w:w="10160"/>
          </w:cols>
          <w:pgMar w:left="820" w:top="803"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1E1E1E"/>
        </w:rPr>
        <w:t>iii</w:t>
      </w:r>
    </w:p>
    <w:p>
      <w:pPr>
        <w:sectPr>
          <w:pgSz w:w="11880" w:h="15480" w:orient="portrait"/>
          <w:cols w:equalWidth="0" w:num="1">
            <w:col w:w="10160"/>
          </w:cols>
          <w:pgMar w:left="820" w:top="803" w:right="900" w:bottom="8" w:gutter="0" w:footer="0" w:header="0"/>
          <w:type w:val="continuous"/>
        </w:sectPr>
      </w:pPr>
    </w:p>
    <w:bookmarkStart w:id="5" w:name="page6"/>
    <w:bookmarkEnd w:id="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Mission</w:t>
      </w:r>
    </w:p>
    <w:p>
      <w:pPr>
        <w:spacing w:after="0" w:line="123"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Our mission is to transform data, analytics, and expertise into healthcare commercial intelligence. We help clients uncover the right markets, opportunities, and people, so they can shape tomorrow’s healthcare industry. Our software-as-a-service (“SaaS”) platform creates new paths to commercial success in the healthcare market, so companies can identify where to go next.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12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2,900 customers as of December 31, 2023. We generally define a customer as a company that maintains one or more active paid subscriptions to our platform.</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Our healthcare commercial intelligence platform brings together comprehensive, in-depth and high-quality intelligence, a powerful artificial intelligence (“A.I.”) engine, and an intuitive front-end SaaS platform, which have all been built, modified and improved upon over the last 13 years to create a highly differentiated offering.</w:t>
      </w:r>
    </w:p>
    <w:p>
      <w:pPr>
        <w:spacing w:after="0" w:line="65"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Definitive Healthcare was founded in 2011 and incorporated as Definitive Healthcare Corp. in May 2021 for the purposes of facilitating an IPO of its Class A Common Stock, which was completed on September 17, 2021. The Company is headquartered in Framingham, MA. Our primary website address is www.definitivehc.com. The information on our website is not incorporated herein or otherwise part of this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The Definitive Healthcare Platform</w:t>
      </w:r>
    </w:p>
    <w:p>
      <w:pPr>
        <w:spacing w:after="0" w:line="123"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Our SaaS-based healthcare commercial intelligence platform is designed to provide comprehensive and accurate information on the healthcare ecosystem in the U.S. The platform uses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Data Sources and Data Engine</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Our comprehensive, high-quality healthcare commercial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since our inception, our platform contains a full 360-degree, longitudinal view of the healthcare ecosystem and depicts how the ecosystem connects together, creating a true barrier to entry.</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w:t>
      </w:r>
    </w:p>
    <w:p>
      <w:pPr>
        <w:sectPr>
          <w:pgSz w:w="11880" w:h="15480" w:orient="portrait"/>
          <w:cols w:equalWidth="0" w:num="1">
            <w:col w:w="10220"/>
          </w:cols>
          <w:pgMar w:left="820" w:top="803" w:right="84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1E1E1E"/>
        </w:rPr>
        <w:t>Our Competition and Competitive Strengths</w:t>
      </w:r>
    </w:p>
    <w:p>
      <w:pPr>
        <w:spacing w:after="0" w:line="12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We operate in a highly fragmented market. We have a competitive advantage that is based on our comprehensive dataset built up over 13 years, our application of the data science, which has created proprietary intelligence and linkages that we do not see elsewhere, and a user interface that provides customers access to answers, not data, in an integrated manner. Our competitive strengths include:</w:t>
      </w:r>
    </w:p>
    <w:p>
      <w:pPr>
        <w:spacing w:after="0" w:line="85" w:lineRule="exact"/>
        <w:rPr>
          <w:sz w:val="20"/>
          <w:szCs w:val="20"/>
          <w:color w:val="auto"/>
        </w:rPr>
      </w:pPr>
    </w:p>
    <w:p>
      <w:pPr>
        <w:jc w:val="both"/>
        <w:ind w:left="1100" w:right="20" w:hanging="488"/>
        <w:spacing w:after="0" w:line="259" w:lineRule="auto"/>
        <w:tabs>
          <w:tab w:leader="none" w:pos="110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Proprietary Healthcare-specific Commercial Intelligence</w:t>
      </w:r>
      <w:r>
        <w:rPr>
          <w:rFonts w:ascii="Times New Roman" w:cs="Times New Roman" w:eastAsia="Times New Roman" w:hAnsi="Times New Roman"/>
          <w:sz w:val="20"/>
          <w:szCs w:val="20"/>
          <w:color w:val="1E1E1E"/>
        </w:rPr>
        <w:t>. We have built proprietary intelligence via first-party</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research, aggregated, linked, cleansed, and inferred information from thousands of data sources and we have tied billions of data points together into a comprehensive view of the entire U.S. healthcare ecosystem.</w:t>
      </w:r>
    </w:p>
    <w:p>
      <w:pPr>
        <w:spacing w:after="0" w:line="78" w:lineRule="exact"/>
        <w:rPr>
          <w:rFonts w:ascii="Arial" w:cs="Arial" w:eastAsia="Arial" w:hAnsi="Arial"/>
          <w:sz w:val="20"/>
          <w:szCs w:val="20"/>
          <w:color w:val="1E1E1E"/>
        </w:rPr>
      </w:pPr>
    </w:p>
    <w:p>
      <w:pPr>
        <w:ind w:left="1100" w:right="160" w:hanging="488"/>
        <w:spacing w:after="0" w:line="259" w:lineRule="auto"/>
        <w:tabs>
          <w:tab w:leader="none" w:pos="110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 xml:space="preserve">An Integrated Data and Technology Foundation that Creates a Flywheel of Innovation. </w:t>
      </w:r>
      <w:r>
        <w:rPr>
          <w:rFonts w:ascii="Times New Roman" w:cs="Times New Roman" w:eastAsia="Times New Roman" w:hAnsi="Times New Roman"/>
          <w:sz w:val="20"/>
          <w:szCs w:val="20"/>
          <w:color w:val="1E1E1E"/>
        </w:rPr>
        <w:t>Our technology</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platform provides the foundation for rapid product development and innovation by leveraging our existing data assets to produce new modules and features that solve a growing number of business problems.</w:t>
      </w:r>
    </w:p>
    <w:p>
      <w:pPr>
        <w:spacing w:after="0" w:line="78" w:lineRule="exact"/>
        <w:rPr>
          <w:rFonts w:ascii="Arial" w:cs="Arial" w:eastAsia="Arial" w:hAnsi="Arial"/>
          <w:sz w:val="20"/>
          <w:szCs w:val="20"/>
          <w:color w:val="1E1E1E"/>
        </w:rPr>
      </w:pPr>
    </w:p>
    <w:p>
      <w:pPr>
        <w:jc w:val="both"/>
        <w:ind w:left="1100" w:right="240" w:hanging="488"/>
        <w:spacing w:after="0" w:line="278" w:lineRule="auto"/>
        <w:tabs>
          <w:tab w:leader="none" w:pos="110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 xml:space="preserve">Powerful Go-to-Market Engine. </w:t>
      </w:r>
      <w:r>
        <w:rPr>
          <w:rFonts w:ascii="Times New Roman" w:cs="Times New Roman" w:eastAsia="Times New Roman" w:hAnsi="Times New Roman"/>
          <w:sz w:val="20"/>
          <w:szCs w:val="20"/>
          <w:color w:val="1E1E1E"/>
        </w:rPr>
        <w:t>We have a highly efficient and effective go-to-market engine that combines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effective marketing with an inside sales force comprised of highly trained, vertically focused sales executives.</w:t>
      </w:r>
    </w:p>
    <w:p>
      <w:pPr>
        <w:spacing w:after="0" w:line="60" w:lineRule="exact"/>
        <w:rPr>
          <w:rFonts w:ascii="Arial" w:cs="Arial" w:eastAsia="Arial" w:hAnsi="Arial"/>
          <w:sz w:val="20"/>
          <w:szCs w:val="20"/>
          <w:color w:val="1E1E1E"/>
        </w:rPr>
      </w:pPr>
    </w:p>
    <w:p>
      <w:pPr>
        <w:ind w:left="1100" w:right="20" w:hanging="488"/>
        <w:spacing w:after="0" w:line="259" w:lineRule="auto"/>
        <w:tabs>
          <w:tab w:leader="none" w:pos="1100" w:val="left"/>
        </w:tabs>
        <w:numPr>
          <w:ilvl w:val="0"/>
          <w:numId w:val="5"/>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 xml:space="preserve">Visionary Management Team with a Track Record of Execution. </w:t>
      </w:r>
      <w:r>
        <w:rPr>
          <w:rFonts w:ascii="Times New Roman" w:cs="Times New Roman" w:eastAsia="Times New Roman" w:hAnsi="Times New Roman"/>
          <w:sz w:val="20"/>
          <w:szCs w:val="20"/>
          <w:color w:val="1E1E1E"/>
        </w:rPr>
        <w:t>Our management team has a strong track</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record of exceptional financial performance and of building an award-winning culture to attract and retain highly talented individuals.</w:t>
      </w:r>
    </w:p>
    <w:p>
      <w:pPr>
        <w:spacing w:after="0" w:line="64"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While we believe no competitor matches our breadth of data and intelligence solutions or offers as comprehensive and accurate a commercial intelligence platform, we compete either directly or indirectly with:</w:t>
      </w:r>
    </w:p>
    <w:p>
      <w:pPr>
        <w:spacing w:after="0" w:line="60" w:lineRule="exact"/>
        <w:rPr>
          <w:sz w:val="20"/>
          <w:szCs w:val="20"/>
          <w:color w:val="auto"/>
        </w:rPr>
      </w:pPr>
    </w:p>
    <w:p>
      <w:pPr>
        <w:ind w:left="1100" w:hanging="488"/>
        <w:spacing w:after="0"/>
        <w:tabs>
          <w:tab w:leader="none" w:pos="110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Legacy raw claims data providers, such as Clarivate, IQVIA, and Symphony Health;</w:t>
      </w:r>
    </w:p>
    <w:p>
      <w:pPr>
        <w:spacing w:after="0" w:line="133" w:lineRule="exact"/>
        <w:rPr>
          <w:rFonts w:ascii="Arial" w:cs="Arial" w:eastAsia="Arial" w:hAnsi="Arial"/>
          <w:sz w:val="20"/>
          <w:szCs w:val="20"/>
          <w:color w:val="1E1E1E"/>
        </w:rPr>
      </w:pPr>
    </w:p>
    <w:p>
      <w:pPr>
        <w:ind w:left="1100" w:right="240" w:hanging="488"/>
        <w:spacing w:after="0" w:line="278" w:lineRule="auto"/>
        <w:tabs>
          <w:tab w:leader="none" w:pos="110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Niche healthcare specialists, such as Komodo Health, H1 Healthcare, Marketware, Trella Health, and Trilliant Health;</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Ecosystem players that may house or analyze similar intelligence, such as SG2 and Veeva; and</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6"/>
        </w:numPr>
        <w:rPr>
          <w:rFonts w:ascii="Arial" w:cs="Arial" w:eastAsia="Arial" w:hAnsi="Arial"/>
          <w:sz w:val="20"/>
          <w:szCs w:val="20"/>
          <w:color w:val="1E1E1E"/>
        </w:rPr>
      </w:pPr>
      <w:r>
        <w:rPr>
          <w:rFonts w:ascii="Times New Roman" w:cs="Times New Roman" w:eastAsia="Times New Roman" w:hAnsi="Times New Roman"/>
          <w:sz w:val="20"/>
          <w:szCs w:val="20"/>
          <w:color w:val="1E1E1E"/>
        </w:rPr>
        <w:t>Horizontal go-to-market intelligence platforms, such as ZoomInfo, LinkedIn, and Dun &amp; Bradstreet.</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We believe the principal competitive factors in our markets are:</w:t>
      </w:r>
    </w:p>
    <w:p>
      <w:pPr>
        <w:spacing w:after="0" w:line="134" w:lineRule="exact"/>
        <w:rPr>
          <w:sz w:val="20"/>
          <w:szCs w:val="20"/>
          <w:color w:val="auto"/>
        </w:rPr>
      </w:pPr>
    </w:p>
    <w:p>
      <w:pPr>
        <w:ind w:left="1100" w:hanging="488"/>
        <w:spacing w:after="0"/>
        <w:tabs>
          <w:tab w:leader="none" w:pos="110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Depth, breadth, and accuracy of healthcare-specific commercial intelligence;</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Healthcare subject matter expertise;</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A.I. and data science capabilities;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Ease of use and deployment; and</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7"/>
        </w:numPr>
        <w:rPr>
          <w:rFonts w:ascii="Arial" w:cs="Arial" w:eastAsia="Arial" w:hAnsi="Arial"/>
          <w:sz w:val="20"/>
          <w:szCs w:val="20"/>
          <w:color w:val="1E1E1E"/>
        </w:rPr>
      </w:pPr>
      <w:r>
        <w:rPr>
          <w:rFonts w:ascii="Times New Roman" w:cs="Times New Roman" w:eastAsia="Times New Roman" w:hAnsi="Times New Roman"/>
          <w:sz w:val="20"/>
          <w:szCs w:val="20"/>
          <w:color w:val="1E1E1E"/>
        </w:rPr>
        <w:t>Data privacy and security.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Growth Strategies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We intend to drive growth through the following strategies:</w:t>
      </w:r>
    </w:p>
    <w:p>
      <w:pPr>
        <w:spacing w:after="0" w:line="136" w:lineRule="exact"/>
        <w:rPr>
          <w:sz w:val="20"/>
          <w:szCs w:val="20"/>
          <w:color w:val="auto"/>
        </w:rPr>
      </w:pPr>
    </w:p>
    <w:p>
      <w:pPr>
        <w:ind w:left="1100" w:hanging="488"/>
        <w:spacing w:after="0"/>
        <w:tabs>
          <w:tab w:leader="none" w:pos="110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Acquiring new customers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Expanding our relationships with existing customers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Continuing to innovate to strengthen our platform and market leadership position</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8"/>
        </w:numPr>
        <w:rPr>
          <w:rFonts w:ascii="Arial" w:cs="Arial" w:eastAsia="Arial" w:hAnsi="Arial"/>
          <w:sz w:val="20"/>
          <w:szCs w:val="20"/>
          <w:color w:val="1E1E1E"/>
        </w:rPr>
      </w:pPr>
      <w:r>
        <w:rPr>
          <w:rFonts w:ascii="Times New Roman" w:cs="Times New Roman" w:eastAsia="Times New Roman" w:hAnsi="Times New Roman"/>
          <w:sz w:val="20"/>
          <w:szCs w:val="20"/>
          <w:b w:val="1"/>
          <w:bCs w:val="1"/>
          <w:i w:val="1"/>
          <w:iCs w:val="1"/>
          <w:color w:val="1E1E1E"/>
        </w:rPr>
        <w:t>Making selective strategic acquisitions and investments</w:t>
      </w:r>
    </w:p>
    <w:p>
      <w:pPr>
        <w:sectPr>
          <w:pgSz w:w="11880" w:h="15480" w:orient="portrait"/>
          <w:cols w:equalWidth="0" w:num="1">
            <w:col w:w="10160"/>
          </w:cols>
          <w:pgMar w:left="820" w:top="803"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1E1E1E"/>
        </w:rPr>
        <w:t>2</w:t>
      </w:r>
    </w:p>
    <w:p>
      <w:pPr>
        <w:sectPr>
          <w:pgSz w:w="11880" w:h="15480" w:orient="portrait"/>
          <w:cols w:equalWidth="0" w:num="1">
            <w:col w:w="10160"/>
          </w:cols>
          <w:pgMar w:left="820" w:top="803" w:right="9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1E1E1E"/>
        </w:rPr>
        <w:t>Our Customers</w:t>
      </w:r>
    </w:p>
    <w:p>
      <w:pPr>
        <w:spacing w:after="0" w:line="123"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Our integrated platform is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Go-to-Market Strategy</w:t>
      </w:r>
    </w:p>
    <w:p>
      <w:pPr>
        <w:spacing w:after="0" w:line="123" w:lineRule="exact"/>
        <w:rPr>
          <w:sz w:val="20"/>
          <w:szCs w:val="20"/>
          <w:color w:val="auto"/>
        </w:rPr>
      </w:pPr>
    </w:p>
    <w:p>
      <w:pPr>
        <w:ind w:right="440" w:firstLine="490"/>
        <w:spacing w:after="0" w:line="279" w:lineRule="auto"/>
        <w:rPr>
          <w:sz w:val="20"/>
          <w:szCs w:val="20"/>
          <w:color w:val="auto"/>
        </w:rPr>
      </w:pPr>
      <w:r>
        <w:rPr>
          <w:rFonts w:ascii="Times New Roman" w:cs="Times New Roman" w:eastAsia="Times New Roman" w:hAnsi="Times New Roman"/>
          <w:sz w:val="20"/>
          <w:szCs w:val="20"/>
          <w:color w:val="1E1E1E"/>
        </w:rPr>
        <w:t>We believe we have a very efficient go-to-market model, driven by a high-velocity inside sales and marketing team, experienced sales executives (“SEs”) and a well-defined verticalized sales strategy.</w:t>
      </w:r>
    </w:p>
    <w:p>
      <w:pPr>
        <w:spacing w:after="0" w:line="45"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Our go-to-market strategy begins with a high-velocity marketing engine that generates more than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 demo to the exact intelligence that will be most impactful to their business. As our brand presence continues to grow, we have seen a significant increase in the number of inbound MQLs received.</w:t>
      </w:r>
    </w:p>
    <w:p>
      <w:pPr>
        <w:spacing w:after="0" w:line="80"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We complement our marketing efforts with a highly targeted outbound effort focused on important prospects across our target universe of over 100,000 companies, with an estimated total addressable market of more than $10 billion. These companies are prioritized and targeted with a measurable outbound effort led by our inside sales representative team.</w:t>
      </w:r>
    </w:p>
    <w:p>
      <w:pPr>
        <w:spacing w:after="0" w:line="65"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Once a new company signs up as a subscriber, they are transferred to our Customer Experience managers (“CX”) who assist with onboarding and training, answering questions, and maintaining a “health score,” which is a predictive metric used to determine whether customers are likely to renew their subscription. In addition, an account executive (“AE”) is typically assigned to each customer, with a focus on deepening the relationship and identifying opportunities to expand the relationship to new departments and sell additional intelligence modules and workflow products. The CX and AE teams are also organized by vertical end market to ensure appropriate subject matter expertise.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Human Capital at Definitive Healthcare</w:t>
      </w:r>
    </w:p>
    <w:p>
      <w:pPr>
        <w:spacing w:after="0" w:line="123"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1E1E1E"/>
        </w:rPr>
        <w:t>Our community has continued to grow rapidly since our founding 13 years ago. While our people are primarily concentrated in the Boston metro area, we have expanded globally and increased our reach with a flourishing remote employee base.</w:t>
      </w:r>
    </w:p>
    <w:p>
      <w:pPr>
        <w:spacing w:after="0" w:line="65"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E1E1E"/>
        </w:rPr>
        <w:t xml:space="preserve">As of January 31, 2024, our workforce included 830 employees </w:t>
      </w:r>
      <w:r>
        <w:rPr>
          <w:rFonts w:ascii="Times New Roman" w:cs="Times New Roman" w:eastAsia="Times New Roman" w:hAnsi="Times New Roman"/>
          <w:sz w:val="18"/>
          <w:szCs w:val="18"/>
          <w:color w:val="1E1E1E"/>
        </w:rPr>
        <w:t>—</w:t>
      </w:r>
      <w:r>
        <w:rPr>
          <w:rFonts w:ascii="Times New Roman" w:cs="Times New Roman" w:eastAsia="Times New Roman" w:hAnsi="Times New Roman"/>
          <w:sz w:val="20"/>
          <w:szCs w:val="20"/>
          <w:color w:val="1E1E1E"/>
        </w:rPr>
        <w:t xml:space="preserve"> of whom 571 were based in the U.S., 50 were based in Europe, and another 209 were based in India. Functionally, our workforce includes 327 in sales and marketing, 233 in product development, 119 in customer support, 87 in general and administrative roles, 39 in professional services, and 25 in data acquisition roles. Our workforce is comprised of a wide variety of professionals, including business development representatives, data scientists, software engineers, and more.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People and culture</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We consistently receive workplace accolades. In 2023, we were recognized by The Boston Globe as a Top Place to Work for the seventh consecutive year. We were also awarded Energage’s “Top Workplace in the US” for the second consecutive year and have been recognized as a best place to work by the Boston Business Journal’s “Best Place to Work” for five of the past seven years.</w:t>
      </w:r>
    </w:p>
    <w:p>
      <w:pPr>
        <w:spacing w:after="0" w:line="70"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1E1E1E"/>
        </w:rPr>
        <w:t>We are committed to putting our community first. For us that means centering our culture around collaboration and community engagement. DefinitiveCares, our employee-led charitable organization, is at the core of our company culture. The mission of DefinitiveCares is to give back to the community through employee-led volunteer initiatives.</w:t>
      </w:r>
    </w:p>
    <w:p>
      <w:pPr>
        <w:spacing w:after="0" w:line="65"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1E1E1E"/>
        </w:rPr>
        <w:t>As a company, we are collaborative, energetic, approachable, and driven. These attributes have allowed us to develop and maintain our customer-focused culture, where we are not afraid to roll up our sleeves to get the job done. We also realize that there is more to life than work, so we try to have some fun together and ensure that every employee maintains a healthy work-life balance.</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w:t>
      </w:r>
    </w:p>
    <w:p>
      <w:pPr>
        <w:sectPr>
          <w:pgSz w:w="11880" w:h="15480" w:orient="portrait"/>
          <w:cols w:equalWidth="0" w:num="1">
            <w:col w:w="10220"/>
          </w:cols>
          <w:pgMar w:left="820" w:top="803" w:right="84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1E1E1E"/>
        </w:rPr>
        <w:t>Diversity, equity, and inclusion</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At Definitive Healthcare, we invite everyone to come as they are. We value our employees’ unique perspectives, backgrounds, and voices because these diverse experiences drive new ideas and help us build a better community. We provide opportunities for our employees to grow and develop awareness around diversity, equity, and inclusion through company-sponsored speakers and presentations. We promote diversity and inclusion in our hiring processes by training our hiring managers on unconscious bias, by engaging with diverse student groups at college fairs, by increasing our work visa sponsorship program, and by incorporating inclusive, gender-neutral language into our job descriptions.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In addition, our employee-led affinity groups provide a way for everyone to come together and share their common experiences. Alongside their allies, these employees promote a sense of community, belonging, and understanding at Definitive Healthcare. The affinity groups include Women's Empowerment @ DHC, Out @ DHC (LGBTQIA), Black, Indigenous, and People of Color @ DHC, Working Parents, and AVID @ DHC (visible and invisible disabilities), as well as a wide variety of clubs and special interest groups.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Health, wellness, and total rewards</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Our goal is to offer a best-in-class total rewards package that supports employees and their families, attracts top talent, and ensures pay equity. We provide competitive pay and benefits to attract and retain high quality talent. As part of our total rewards package, U.S. employees are eligible for variable compensation and we pay for employees’ individual full medical coverage, in addition to providing generous healthcare, investment, retirement, educational assistance and reimbursement, and paid time off.</w:t>
      </w:r>
    </w:p>
    <w:p>
      <w:pPr>
        <w:spacing w:after="0" w:line="7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Promoting a culture that supports health and well-being continues to be a priority for the organization. After initially transitioning to a fully remote work approach in response to the COVID-19 pandemic, we have since implemented and chosen to maintain a hybrid work environment, enabling all employees to work between our offices and remotely, which we believe enables greater flexibility for a successful work-life balance. Since 2022, we have offered unlimited paid time off and expanded parental leave for U.S.-based employees.</w:t>
      </w:r>
    </w:p>
    <w:p>
      <w:pPr>
        <w:spacing w:after="0" w:line="77"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1E1E1E"/>
        </w:rPr>
        <w:t>We reward high performance and effort, regardless of experience or title. We recognize employees who do exceptional work four times a year through our Rockstars awards, which are granted to those who embody our guiding principles in extraordinary ways, and recipients are determined by employee nominations.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Employee Development and Advancement</w:t>
      </w:r>
    </w:p>
    <w:p>
      <w:pPr>
        <w:spacing w:after="0" w:line="118" w:lineRule="exact"/>
        <w:rPr>
          <w:sz w:val="20"/>
          <w:szCs w:val="20"/>
          <w:color w:val="auto"/>
        </w:rPr>
      </w:pPr>
    </w:p>
    <w:p>
      <w:pPr>
        <w:jc w:val="both"/>
        <w:ind w:right="120" w:firstLine="490"/>
        <w:spacing w:after="0" w:line="253" w:lineRule="auto"/>
        <w:rPr>
          <w:sz w:val="20"/>
          <w:szCs w:val="20"/>
          <w:color w:val="auto"/>
        </w:rPr>
      </w:pPr>
      <w:r>
        <w:rPr>
          <w:rFonts w:ascii="Times New Roman" w:cs="Times New Roman" w:eastAsia="Times New Roman" w:hAnsi="Times New Roman"/>
          <w:sz w:val="20"/>
          <w:szCs w:val="20"/>
          <w:color w:val="1E1E1E"/>
        </w:rPr>
        <w:t>Our people are our greatest asset. Enabling their career growth and upward mobility is critical to retaining and engaging our talent. We provide employees with the tools, learning, and internal opportunities to find their path and build the skills and abilities to take on new roles. As part of our offerings, we provide a comprehensive learning management system, with a mix of professional, technical, managerial, and leadership development programs across a number of learning pathways.</w:t>
      </w:r>
    </w:p>
    <w:p>
      <w:pPr>
        <w:spacing w:after="0" w:line="70"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1E1E1E"/>
        </w:rPr>
        <w:t>Each year, we conduct a robust talent review process that includes performance assessments and goal setting to enable growth and employee advancement while creating alignment with both company goals and values. This process ties into our compensation strategy to ensure that we reward and incentivize our high performers.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220"/>
          </w:cols>
          <w:pgMar w:left="820" w:top="808" w:right="84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1E1E1E"/>
        </w:rPr>
        <w:t>Intellectual Property</w:t>
      </w:r>
    </w:p>
    <w:p>
      <w:pPr>
        <w:spacing w:after="0" w:line="123"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1E1E1E"/>
        </w:rPr>
        <w:t>Our data driven platform and our approach to keeping it current is our defensive moat and protecting our intellectual property is a crucial aspect of our business. While, as of December 31, 2023, we have not pursued any patents, we secure and protect our intellectual property rights in material unregistered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80"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Data Privacy and Security</w:t>
      </w:r>
    </w:p>
    <w:p>
      <w:pPr>
        <w:spacing w:after="0" w:line="123"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The information we collect, use, disclose, and/or otherwise process from healthcare organizations and professionals in the ordinary course of our business is integral to providing a comprehensive healthcare commercial intelligence platform to our customers. As a result, numerous state, federal, and foreign laws, including consumer protection laws, regulations, industry standards, and other obligations govern our collection, use, disclosure, and/or processing of personal data, including health-related information. For example, in the United States, numerous federal and state laws and regulations, including data breach notification laws, health information privacy and security laws, including Health Insurance Portability and Accountability Act, as amended by the Health Information Technology for Economic and Clinical Health Act, and their implementing regulations (collectively, “HIPAA”), federal and state consumer protection laws and regulations (e.g., Section 5 of the Federal Trade Commission Act), and other similar laws (e.g., wiretapping) govern the collection, use, disclosure, protection, and/or processing of health-related and other personal data and could apply to our operations or the operations of our partners or customers.</w:t>
      </w:r>
    </w:p>
    <w:p>
      <w:pPr>
        <w:spacing w:after="0" w:line="8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In addition, certain U.S. state laws, such as the CCPA“, and foreign laws, such as”), the European Union's General Data Protection Regulation (“EU GDPR”) and the United Kingdom's GDPR (“UK GDPR”) govern the privacy and security of personal data, including health-related information in certain circumstances, some of which are more stringent than HIPAA and many of which differ from each other in significant ways, thus complicating our compliance efforts. Any actual or perceived failure to comply with these laws, where applicable, can result in the imposition of significant administrative, civil and/or criminal penalties and private litigation. Data privacy and security laws, regulations, industry standards, and other obligations are constantly evolving, may conflict with each other, and can result in investigations, proceedings, or actions that lead to significant penalties and restrictions on data processing.</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220"/>
          </w:cols>
          <w:pgMar w:left="820" w:top="803" w:right="8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1E1E1E"/>
        </w:rPr>
        <w:t>Other Available Information</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We make our Annual Report on Form 10-K, Quarterly Reports on Form 10-Q, Current Reports on Form 8-K, and all amendments to these filings, available free of charge as soon as reasonably practicable after we electronically file such material with, or furnish it to, the SEC on our website at https://ir.definitivehc.com/financial-information/sec-filings or by contacting our Investor Relations department at our office address listed above.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220"/>
          </w:cols>
          <w:pgMar w:left="820" w:top="803" w:right="8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1E1E1E"/>
        </w:rPr>
        <w:t>Item 1A. Risk Factors.</w:t>
      </w:r>
    </w:p>
    <w:p>
      <w:pPr>
        <w:spacing w:after="0" w:line="12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i w:val="1"/>
          <w:iCs w:val="1"/>
          <w:color w:val="1E1E1E"/>
        </w:rPr>
        <w:t>You should carefully consider each of the following risk factors, as well as other information contained in this Form 10-K,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Risks Related to Our Business and Industry</w:t>
      </w:r>
    </w:p>
    <w:p>
      <w:pPr>
        <w:spacing w:after="0" w:line="1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generate substantially all of our revenue from sales of subscriptions to our platform and any decline in demand for our platform and the data we offer could have a material adverse effect on our business, financial condition and results of operations.</w:t>
      </w:r>
    </w:p>
    <w:p>
      <w:pPr>
        <w:spacing w:after="0" w:line="6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For the year ended December 31, 2023, we derived 97% of our revenue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 For example, difficult macroeconomic conditions have impacted our existing and prospective customers, which has in some cases resulted in longer deal cycles, more stringent approval processes and deferred purchasing decisions, and we expect this to continue until macroeconomic conditions improve.</w:t>
      </w:r>
    </w:p>
    <w:p>
      <w:pPr>
        <w:spacing w:after="0" w:line="102"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1E1E1E"/>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0" w:lineRule="exact"/>
        <w:rPr>
          <w:sz w:val="20"/>
          <w:szCs w:val="20"/>
          <w:color w:val="auto"/>
        </w:rPr>
      </w:pPr>
    </w:p>
    <w:p>
      <w:pPr>
        <w:ind w:left="1100" w:right="100" w:hanging="488"/>
        <w:spacing w:after="0" w:line="278" w:lineRule="auto"/>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awareness and acceptance of the healthcare commercial intelligence platform category generally, and the growth and evolution of the category and our addressable market;</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availability of products and services that compete with our platform;</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brand recognition;</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pricing;</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ease of adoption and use;</w:t>
      </w:r>
    </w:p>
    <w:p>
      <w:pPr>
        <w:spacing w:after="0" w:line="133" w:lineRule="exact"/>
        <w:rPr>
          <w:rFonts w:ascii="Arial" w:cs="Arial" w:eastAsia="Arial" w:hAnsi="Arial"/>
          <w:sz w:val="20"/>
          <w:szCs w:val="20"/>
          <w:color w:val="1E1E1E"/>
        </w:rPr>
      </w:pPr>
    </w:p>
    <w:p>
      <w:pPr>
        <w:ind w:left="1100" w:right="40" w:hanging="488"/>
        <w:spacing w:after="0" w:line="278" w:lineRule="auto"/>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performance, features and user experience, and the development and acceptance of new features, integrations and capabilities;</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ability to consistently procure high-quality and useful data;</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the level of customer support we provide;</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accessibility across several operating system and applications;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integration with workflow insights and technologies; and</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9"/>
        </w:numPr>
        <w:rPr>
          <w:rFonts w:ascii="Arial" w:cs="Arial" w:eastAsia="Arial" w:hAnsi="Arial"/>
          <w:sz w:val="20"/>
          <w:szCs w:val="20"/>
          <w:color w:val="1E1E1E"/>
        </w:rPr>
      </w:pPr>
      <w:r>
        <w:rPr>
          <w:rFonts w:ascii="Times New Roman" w:cs="Times New Roman" w:eastAsia="Times New Roman" w:hAnsi="Times New Roman"/>
          <w:sz w:val="20"/>
          <w:szCs w:val="20"/>
          <w:color w:val="1E1E1E"/>
        </w:rPr>
        <w:t>macroeconomic factors and their impacts on users of healthcare data.</w:t>
      </w:r>
    </w:p>
    <w:p>
      <w:pPr>
        <w:spacing w:after="0" w:line="139"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1E1E1E"/>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220"/>
          </w:cols>
          <w:pgMar w:left="820" w:top="803" w:right="840" w:bottom="0" w:gutter="0" w:footer="0" w:header="0"/>
          <w:type w:val="continuous"/>
        </w:sectPr>
      </w:pPr>
    </w:p>
    <w:bookmarkStart w:id="13" w:name="page14"/>
    <w:bookmarkEnd w:id="13"/>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The market in which we operate is highly competitive, such that if we do not compete effectively, it could have a material adverse effect on our business, financial condition and results of operations.</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32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fail to respond to advances in healthcare commercial intelligence, competitors could surpass the depth, breadth or accuracy of our platform.</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and technology. If we fail to respond to changes in healthcare commercial intelligence or technology,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32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are not able to obtain and maintain accurate, comprehensive or reliable data, we could experience reduced demand for our platform.</w:t>
      </w:r>
    </w:p>
    <w:p>
      <w:pPr>
        <w:spacing w:after="0" w:line="4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The healthcare landscape is complex, opaque and constantly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routine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220"/>
          </w:cols>
          <w:pgMar w:left="820" w:top="808" w:right="840" w:bottom="0" w:gutter="0" w:footer="0" w:header="0"/>
          <w:type w:val="continuous"/>
        </w:sectPr>
      </w:pPr>
    </w:p>
    <w:bookmarkStart w:id="14" w:name="page15"/>
    <w:bookmarkEnd w:id="14"/>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have experienced rapid growth in recent periods, and our recent growth rates may not be indicative of our future growth.</w:t>
      </w:r>
    </w:p>
    <w:p>
      <w:pPr>
        <w:spacing w:after="0" w:line="4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We have experienced rapid organic and acquisition-driven growth in recent periods. For the year ended December 31, 2023, our revenue was $251.4 million, an increase of 12.9% as compared to our revenue of $222.7 million for the year ended December 31, 2022.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failure to capitalize on growth opportunities, and the impacts to our business from macroeconomic factors such as the Russia-Ukraine war, the evolving conflict in Israel and surrounding areas, global geopolitical tension, and more recently, inflation and high interest rates, volatility in the capital markets and related market uncertainty. Our current and prospective customers are impacted by difficult macroeconomic conditions to varying degrees and as a result, in some cases we are observing deal cycles lengthen for new and existing customers, as well as more stringent approval processes and deferred purchasing decisions, which we expect will impact our growth unless macroeconomic conditions improve.</w:t>
      </w:r>
    </w:p>
    <w:p>
      <w:pPr>
        <w:spacing w:after="0" w:line="86"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32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may not achieve or sustain profitability in the future compared to historical levels as we increase investments in our business.</w:t>
      </w:r>
    </w:p>
    <w:p>
      <w:pPr>
        <w:spacing w:after="0" w:line="46"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1E1E1E"/>
        </w:rPr>
        <w:t>We have incurred operating losses in the past and may continue to incur net losses in the future. For the year ended December 31, 2023, we had a net loss of $289.6 million, compared to a net loss of $24.2 million for the year ended December 31, 2022. We expect our operating expenses to increase in the future as we invest capital to make acquisitions, develop new features, add to our existing intelligence modules and invest in new products and data sources. Further, our administrative costs have significantly increased relative to prior periods due to the incremental costs associated with operating as a public company, including corporate insurance costs, additional accounting and legal expenses, and additional resources associated with controls, reporting, and disclosure. While in light of macroeconomic conditions we have made efforts to contain our operating expenses, including implementation of restructuring plans (the "Plans") in the first and third quarters of 2023 and in the first quarter of 2024, such efforts may not achieve the cost savings that we expect. Our efforts to grow our business may be more costly than we expect and we may not be able to increase our revenue enough to offset higher operating expenses. We may not be able to achieve or sustain profitability in subsequent periods and we may incur significant losses in the future for a number of reasons, including the foregoing as well as unforeseen expenses, difficulties, complications and delays, the other risks described in this Annual Report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327"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could lose our access to our data providers, which could negatively impact our platform and could have a material adverse effect on our business, financial condition and results of operations.</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If our competitors are able to purchase similar external data on</w:t>
      </w:r>
    </w:p>
    <w:p>
      <w:pPr>
        <w:sectPr>
          <w:pgSz w:w="11880" w:h="15480" w:orient="portrait"/>
          <w:cols w:equalWidth="0" w:num="1">
            <w:col w:w="10220"/>
          </w:cols>
          <w:pgMar w:left="820" w:top="808" w:right="840" w:bottom="0" w:gutter="0" w:footer="0" w:header="0"/>
        </w:sect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220"/>
          </w:cols>
          <w:pgMar w:left="820" w:top="808" w:right="840" w:bottom="0" w:gutter="0" w:footer="0" w:header="0"/>
          <w:type w:val="continuous"/>
        </w:sectPr>
      </w:pPr>
    </w:p>
    <w:bookmarkStart w:id="15" w:name="page16"/>
    <w:bookmarkEnd w:id="15"/>
    <w:p>
      <w:pPr>
        <w:jc w:val="both"/>
        <w:ind w:right="160"/>
        <w:spacing w:after="0" w:line="253" w:lineRule="auto"/>
        <w:rPr>
          <w:sz w:val="20"/>
          <w:szCs w:val="20"/>
          <w:color w:val="auto"/>
        </w:rPr>
      </w:pPr>
      <w:r>
        <w:rPr>
          <w:rFonts w:ascii="Times New Roman" w:cs="Times New Roman" w:eastAsia="Times New Roman" w:hAnsi="Times New Roman"/>
          <w:sz w:val="20"/>
          <w:szCs w:val="20"/>
          <w:color w:val="1E1E1E"/>
        </w:rPr>
        <w:t>better terms, our ability to compete would be harmed.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312"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b w:val="1"/>
          <w:bCs w:val="1"/>
          <w:i w:val="1"/>
          <w:iCs w:val="1"/>
          <w:color w:val="1E1E1E"/>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75"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1E1E1E"/>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91"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31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are unable to attract new customers and expand subscriptions of current customers, our revenue growth and financial performance will be negatively impacted.</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customers subscribe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including in light of recently difficult macroeconomic conditions, which we have seen result in lengthening deal cycles that we expect will continue until macroeconomic conditions improve. Numerous other factors may also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(including customers generating more than $100,000 in ARR, which we refer to as “Enterprise Customers”) requires increasingly sophisticated and costly sales and account management efforts targeted at senior management and other personnel and generally involve longer sales cycles. If our efforts to sell to Enterprise Customers are not successful or do not generate additional revenue, our growth will suffer, which could have a material adverse effect on our business, financial condition and results of operations.</w:t>
      </w:r>
    </w:p>
    <w:p>
      <w:pPr>
        <w:spacing w:after="0" w:line="89"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w:t>
      </w:r>
    </w:p>
    <w:p>
      <w:pPr>
        <w:sectPr>
          <w:pgSz w:w="11880" w:h="15480" w:orient="portrait"/>
          <w:cols w:equalWidth="0" w:num="1">
            <w:col w:w="10200"/>
          </w:cols>
          <w:pgMar w:left="820" w:top="806" w:right="860" w:bottom="0" w:gutter="0" w:footer="0" w:header="0"/>
        </w:sect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200"/>
          </w:cols>
          <w:pgMar w:left="820" w:top="806" w:right="860" w:bottom="0" w:gutter="0" w:footer="0" w:header="0"/>
          <w:type w:val="continuous"/>
        </w:sectPr>
      </w:pPr>
    </w:p>
    <w:bookmarkStart w:id="16" w:name="page17"/>
    <w:bookmarkEnd w:id="16"/>
    <w:p>
      <w:pPr>
        <w:ind w:right="100"/>
        <w:spacing w:after="0" w:line="243" w:lineRule="auto"/>
        <w:rPr>
          <w:sz w:val="20"/>
          <w:szCs w:val="20"/>
          <w:color w:val="auto"/>
        </w:rPr>
      </w:pPr>
      <w:r>
        <w:rPr>
          <w:rFonts w:ascii="Times New Roman" w:cs="Times New Roman" w:eastAsia="Times New Roman" w:hAnsi="Times New Roman"/>
          <w:sz w:val="20"/>
          <w:szCs w:val="20"/>
          <w:color w:val="1E1E1E"/>
        </w:rPr>
        <w:t>organization, our pricing or pricing structure, the pricing or capabilities of the products and services offered by our competitors, the effects of economic conditions (including as a result of general economic downturns and difficult macroeconomic conditions)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Perceived issues arising from the use of A.I. (including M.L.) in our platforms may result in reputational harm or liability.</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leverage the use of A.I. in the provision of our solutions. As with many developing technologies, A.I. presents risks and challenges that could affect its further development, adoption, and use, and therefore our business. A.I. algorithms may be flawed. Datasets may be insufficient, of poor quality, or contain biased information. If the recommendations, forecasts, or analyses that A.I. applications assist in producing are deficient or inaccurate, we could be subjected to competitive harm, potential legal liability, and brand or reputational harm. Some A.I. scenarios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32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may fail to offer the optimal pricing and packaging of our solutions, which could negatively impact our growth strategy and ability to effectively compete in the market.</w:t>
      </w:r>
    </w:p>
    <w:p>
      <w:pPr>
        <w:spacing w:after="0" w:line="46"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1E1E1E"/>
        </w:rPr>
        <w:t>We may make changes to our pricing model from time to time. Demand for our solutions is sensitive to price, and depends substantially on levels of expenditures by our customers and their ability to access capital. Sustained market uncertainty can also result in lower demand and pricing for our products and services.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32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In deploying our solutions, we rely upon third-party providers of cloud-based infrastructure (“Cloud Providers”) to provide our services. Any disruption in the operations of Cloud Providers or interference with our use of Cloud Providers would adversely affect our business, results of operations and financial condition.</w:t>
      </w:r>
    </w:p>
    <w:p>
      <w:pPr>
        <w:spacing w:after="0" w:line="64"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E1E1E"/>
        </w:rPr>
        <w:t>We outsource infrastructure relating to our cloud offerings to Cloud Providers. Customers of our cloud-based solutions need to be able to access our platform at any time, without interruption or degradation of performance. Our cloud-based solutions depend on protecting the virtual cloud infrastructure hosted by Cloud Providers by maintaining its configuration, architecture, features and interconnection specifications, as well as the information stored in these virtual data centers and which third-party internet service providers transmit. Any incident affecting our Cloud Providers’ infrastructure that may be caused by fire, flood, severe storm, earthquake or other natural disasters, cyber- attacks and other cybersecurity threats, computer viruses, power failure, terrorist or other attacks, and other similar events beyond our control could negatively affect our cloud-based solutions. A prolonged service disruption affecting our cloud-based offerings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Cloud Provider services we use.</w:t>
      </w:r>
    </w:p>
    <w:p>
      <w:pPr>
        <w:spacing w:after="0" w:line="86"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E1E1E"/>
        </w:rPr>
        <w:t>In the event that our service agreements with our Cloud Providers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offering for deployment on a different cloud infrastructure service provider, which may adversely affect our business, operating results and financial condition.</w:t>
      </w:r>
    </w:p>
    <w:p>
      <w:pPr>
        <w:sectPr>
          <w:pgSz w:w="11880" w:h="15480" w:orient="portrait"/>
          <w:cols w:equalWidth="0" w:num="1">
            <w:col w:w="10200"/>
          </w:cols>
          <w:pgMar w:left="820" w:top="806" w:right="86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200"/>
          </w:cols>
          <w:pgMar w:left="820" w:top="806" w:right="860" w:bottom="0" w:gutter="0" w:footer="0" w:header="0"/>
          <w:type w:val="continuous"/>
        </w:sectPr>
      </w:pPr>
    </w:p>
    <w:bookmarkStart w:id="17" w:name="page18"/>
    <w:bookmarkEnd w:id="17"/>
    <w:p>
      <w:pPr>
        <w:ind w:right="34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7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E1E1E"/>
        </w:rPr>
        <w:t>Enterprise Customers are a key focus of our go-to-market programs. 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data privacy and security obligations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8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In addition, our ability to improve our sales of products to large Enterprise Customers is partially dependent on us continuing to attract and retain sales personnel with experience in selling to large organizations. Also, because security breaches with respect to larger, high-profile Enterprise Customers are likely to be heavily publicized, there is increased reputational risk associated with serving such customers. If we are unable to continue to increase sales of our products to large Enterprise Customers while mitigating the risks associated with serving such customers, our business, financial position, and results of operations may suffer.</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If we fail to offer high-quality customer experience, our business and reputation will suffer.</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8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31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For example, our customers are subject to broad healthcare fraud and abuse laws that may limit their appropriate use of our platform and information obtained therein.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ectPr>
          <w:pgSz w:w="11880" w:h="15480" w:orient="portrait"/>
          <w:cols w:equalWidth="0" w:num="1">
            <w:col w:w="10220"/>
          </w:cols>
          <w:pgMar w:left="820" w:top="808" w:right="840" w:bottom="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220"/>
          </w:cols>
          <w:pgMar w:left="820" w:top="808" w:right="840" w:bottom="0" w:gutter="0" w:footer="0" w:header="0"/>
          <w:type w:val="continuous"/>
        </w:sectPr>
      </w:pPr>
    </w:p>
    <w:bookmarkStart w:id="18" w:name="page19"/>
    <w:bookmarkEnd w:id="18"/>
    <w:p>
      <w:pPr>
        <w:ind w:firstLine="490"/>
        <w:spacing w:after="0" w:line="247" w:lineRule="auto"/>
        <w:rPr>
          <w:sz w:val="20"/>
          <w:szCs w:val="20"/>
          <w:color w:val="auto"/>
        </w:rPr>
      </w:pPr>
      <w:r>
        <w:rPr>
          <w:rFonts w:ascii="Times New Roman" w:cs="Times New Roman" w:eastAsia="Times New Roman" w:hAnsi="Times New Roman"/>
          <w:sz w:val="20"/>
          <w:szCs w:val="20"/>
          <w:color w:val="1E1E1E"/>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321"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64"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1E1E1E"/>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July 2023, we completed our acquisition of Populi, a provider-focused data and analytics company that works with healthcare organizations to optimize physician relationships, reduce network leakage, and expand market share, and are in the process of integrating Populi's business with ours.</w:t>
      </w:r>
    </w:p>
    <w:p>
      <w:pPr>
        <w:spacing w:after="0" w:line="19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80"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1E1E1E"/>
        </w:rPr>
        <w:t>Acquisitions and other transactions, arrangements and investments involve numerous risks and could create unforeseen operating difficulties and expenditures, including:</w:t>
      </w:r>
    </w:p>
    <w:p>
      <w:pPr>
        <w:spacing w:after="0" w:line="60" w:lineRule="exact"/>
        <w:rPr>
          <w:sz w:val="20"/>
          <w:szCs w:val="20"/>
          <w:color w:val="auto"/>
        </w:rPr>
      </w:pPr>
    </w:p>
    <w:p>
      <w:pPr>
        <w:ind w:left="1100" w:hanging="488"/>
        <w:spacing w:after="0"/>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failure to achieve the expected benefits on a timely basis or at all;</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in, and the cost of, integrating operations, technologies, solutions and platforms;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diversion of financial and managerial resources from existing operations;</w:t>
      </w:r>
    </w:p>
    <w:p>
      <w:pPr>
        <w:spacing w:after="0" w:line="133" w:lineRule="exact"/>
        <w:rPr>
          <w:rFonts w:ascii="Arial" w:cs="Arial" w:eastAsia="Arial" w:hAnsi="Arial"/>
          <w:sz w:val="20"/>
          <w:szCs w:val="20"/>
          <w:color w:val="1E1E1E"/>
        </w:rPr>
      </w:pPr>
    </w:p>
    <w:p>
      <w:pPr>
        <w:ind w:left="1100" w:right="340" w:hanging="488"/>
        <w:spacing w:after="0" w:line="278"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the potential entry into new markets in which we have little or no experience or where competitors may have stronger market positions;</w:t>
      </w:r>
    </w:p>
    <w:p>
      <w:pPr>
        <w:spacing w:after="0" w:line="60" w:lineRule="exact"/>
        <w:rPr>
          <w:rFonts w:ascii="Arial" w:cs="Arial" w:eastAsia="Arial" w:hAnsi="Arial"/>
          <w:sz w:val="20"/>
          <w:szCs w:val="20"/>
          <w:color w:val="1E1E1E"/>
        </w:rPr>
      </w:pPr>
    </w:p>
    <w:p>
      <w:pPr>
        <w:ind w:left="1100" w:right="440" w:hanging="488"/>
        <w:spacing w:after="0" w:line="278"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write-offs of acquired assets or investments and potential financial and credit risks associated with acquired customers;</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differences between our values and those of our acquired companies;</w:t>
      </w:r>
    </w:p>
    <w:p>
      <w:pPr>
        <w:spacing w:after="0" w:line="133" w:lineRule="exact"/>
        <w:rPr>
          <w:rFonts w:ascii="Arial" w:cs="Arial" w:eastAsia="Arial" w:hAnsi="Arial"/>
          <w:sz w:val="20"/>
          <w:szCs w:val="20"/>
          <w:color w:val="1E1E1E"/>
        </w:rPr>
      </w:pPr>
    </w:p>
    <w:p>
      <w:pPr>
        <w:ind w:left="1100" w:right="420" w:hanging="488"/>
        <w:spacing w:after="0" w:line="278"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in re-training key employees of acquired companies and integrating them into our organizational structure and corporate culture;</w:t>
      </w:r>
    </w:p>
    <w:p>
      <w:pPr>
        <w:spacing w:after="0" w:line="60" w:lineRule="exact"/>
        <w:rPr>
          <w:rFonts w:ascii="Arial" w:cs="Arial" w:eastAsia="Arial" w:hAnsi="Arial"/>
          <w:sz w:val="20"/>
          <w:szCs w:val="20"/>
          <w:color w:val="1E1E1E"/>
        </w:rPr>
      </w:pPr>
    </w:p>
    <w:p>
      <w:pPr>
        <w:ind w:left="1100" w:right="780" w:hanging="488"/>
        <w:spacing w:after="0" w:line="278"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difficulties in, and financial costs of, addressing acquired compensation structures inconsistent with our compensation structure;</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inability to generate sufficient revenue to offset acquisition or investment costs;</w:t>
      </w:r>
    </w:p>
    <w:p>
      <w:pPr>
        <w:spacing w:after="0" w:line="133" w:lineRule="exact"/>
        <w:rPr>
          <w:rFonts w:ascii="Arial" w:cs="Arial" w:eastAsia="Arial" w:hAnsi="Arial"/>
          <w:sz w:val="20"/>
          <w:szCs w:val="20"/>
          <w:color w:val="1E1E1E"/>
        </w:rPr>
      </w:pPr>
    </w:p>
    <w:p>
      <w:pPr>
        <w:ind w:left="1100" w:right="80" w:hanging="488"/>
        <w:spacing w:after="0" w:line="278"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inability to maintain, or changes in, relationships with customers and partners of the acquired business and costs to optimize any redundant data provider agreements;</w:t>
      </w:r>
    </w:p>
    <w:p>
      <w:pPr>
        <w:spacing w:after="0" w:line="60" w:lineRule="exact"/>
        <w:rPr>
          <w:rFonts w:ascii="Arial" w:cs="Arial" w:eastAsia="Arial" w:hAnsi="Arial"/>
          <w:sz w:val="20"/>
          <w:szCs w:val="20"/>
          <w:color w:val="1E1E1E"/>
        </w:rPr>
      </w:pPr>
    </w:p>
    <w:p>
      <w:pPr>
        <w:ind w:left="1100" w:right="120" w:hanging="488"/>
        <w:spacing w:after="0" w:line="259"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78" w:lineRule="exact"/>
        <w:rPr>
          <w:rFonts w:ascii="Arial" w:cs="Arial" w:eastAsia="Arial" w:hAnsi="Arial"/>
          <w:sz w:val="20"/>
          <w:szCs w:val="20"/>
          <w:color w:val="1E1E1E"/>
        </w:rPr>
      </w:pPr>
    </w:p>
    <w:p>
      <w:pPr>
        <w:ind w:left="1100" w:right="700" w:hanging="488"/>
        <w:spacing w:after="0" w:line="278"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difficulty with, and costs related to, transitioning the acquired technology onto our existing platform and customer acceptance of a new or changed platform on a temporary or permanent basis;</w:t>
      </w:r>
    </w:p>
    <w:p>
      <w:pPr>
        <w:spacing w:after="0" w:line="60" w:lineRule="exact"/>
        <w:rPr>
          <w:rFonts w:ascii="Arial" w:cs="Arial" w:eastAsia="Arial" w:hAnsi="Arial"/>
          <w:sz w:val="20"/>
          <w:szCs w:val="20"/>
          <w:color w:val="1E1E1E"/>
        </w:rPr>
      </w:pPr>
    </w:p>
    <w:p>
      <w:pPr>
        <w:ind w:left="1100" w:right="780" w:hanging="488"/>
        <w:spacing w:after="0" w:line="278" w:lineRule="auto"/>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augmenting the acquired technologies and platforms to the levels that are consistent with our brand and reputation;</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for acquired platforms to impact the financial performance of existing platform;</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0"/>
        </w:numPr>
        <w:rPr>
          <w:rFonts w:ascii="Arial" w:cs="Arial" w:eastAsia="Arial" w:hAnsi="Arial"/>
          <w:sz w:val="20"/>
          <w:szCs w:val="20"/>
          <w:color w:val="1E1E1E"/>
        </w:rPr>
      </w:pPr>
      <w:r>
        <w:rPr>
          <w:rFonts w:ascii="Times New Roman" w:cs="Times New Roman" w:eastAsia="Times New Roman" w:hAnsi="Times New Roman"/>
          <w:sz w:val="20"/>
          <w:szCs w:val="20"/>
          <w:color w:val="1E1E1E"/>
        </w:rPr>
        <w:t>increasing or maintaining the security standards for acquired technology consistent with our platform;</w:t>
      </w:r>
    </w:p>
    <w:p>
      <w:pPr>
        <w:sectPr>
          <w:pgSz w:w="11880" w:h="15480" w:orient="portrait"/>
          <w:cols w:equalWidth="0" w:num="1">
            <w:col w:w="10160"/>
          </w:cols>
          <w:pgMar w:left="820" w:top="806" w:right="900" w:bottom="0" w:gutter="0" w:footer="0" w:header="0"/>
        </w:sect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160"/>
          </w:cols>
          <w:pgMar w:left="820" w:top="806" w:right="900" w:bottom="0" w:gutter="0" w:footer="0" w:header="0"/>
          <w:type w:val="continuous"/>
        </w:sectPr>
      </w:pPr>
    </w:p>
    <w:bookmarkStart w:id="19" w:name="page20"/>
    <w:bookmarkEnd w:id="19"/>
    <w:p>
      <w:pPr>
        <w:ind w:left="1100" w:right="280" w:hanging="488"/>
        <w:spacing w:after="0" w:line="278" w:lineRule="auto"/>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unknown liabilities associated with the acquired businesses, including risks associated with acquired technologies;</w:t>
      </w:r>
    </w:p>
    <w:p>
      <w:pPr>
        <w:spacing w:after="0" w:line="60" w:lineRule="exact"/>
        <w:rPr>
          <w:rFonts w:ascii="Arial" w:cs="Arial" w:eastAsia="Arial" w:hAnsi="Arial"/>
          <w:sz w:val="20"/>
          <w:szCs w:val="20"/>
          <w:color w:val="1E1E1E"/>
        </w:rPr>
      </w:pPr>
    </w:p>
    <w:p>
      <w:pPr>
        <w:ind w:left="1100" w:right="340" w:hanging="488"/>
        <w:spacing w:after="0" w:line="278" w:lineRule="auto"/>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challenges relating to the structure of an investment, such as governance, accountability and decision-making conflicts that may arise in the context of a joint venture or other majority ownership investments;</w:t>
      </w:r>
    </w:p>
    <w:p>
      <w:pPr>
        <w:spacing w:after="0" w:line="60" w:lineRule="exact"/>
        <w:rPr>
          <w:rFonts w:ascii="Arial" w:cs="Arial" w:eastAsia="Arial" w:hAnsi="Arial"/>
          <w:sz w:val="20"/>
          <w:szCs w:val="20"/>
          <w:color w:val="1E1E1E"/>
        </w:rPr>
      </w:pPr>
    </w:p>
    <w:p>
      <w:pPr>
        <w:ind w:left="1100" w:right="300" w:hanging="488"/>
        <w:spacing w:after="0" w:line="278" w:lineRule="auto"/>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a material adverse effect on our results of operations because of the depreciation and amortization of amounts related to acquired intangible assets, fixed assets and deferred compensation;</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additional stock-based compensation;</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the loss of acquired unearned revenue and unbilled unearned revenue;</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delays in customer purchases due to uncertainty related to any acquisition;</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ineffective or inadequate controls, procedures and policies at the acquired company;</w:t>
      </w:r>
    </w:p>
    <w:p>
      <w:pPr>
        <w:spacing w:after="0" w:line="133" w:lineRule="exact"/>
        <w:rPr>
          <w:rFonts w:ascii="Arial" w:cs="Arial" w:eastAsia="Arial" w:hAnsi="Arial"/>
          <w:sz w:val="20"/>
          <w:szCs w:val="20"/>
          <w:color w:val="1E1E1E"/>
        </w:rPr>
      </w:pPr>
    </w:p>
    <w:p>
      <w:pPr>
        <w:ind w:left="1100" w:right="60" w:hanging="488"/>
        <w:spacing w:after="0" w:line="278" w:lineRule="auto"/>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in the case of foreign acquisitions, challenges caused by integrating operations over distance and across different languages, cultures and political environments;</w:t>
      </w:r>
    </w:p>
    <w:p>
      <w:pPr>
        <w:spacing w:after="0" w:line="60" w:lineRule="exact"/>
        <w:rPr>
          <w:rFonts w:ascii="Arial" w:cs="Arial" w:eastAsia="Arial" w:hAnsi="Arial"/>
          <w:sz w:val="20"/>
          <w:szCs w:val="20"/>
          <w:color w:val="1E1E1E"/>
        </w:rPr>
      </w:pPr>
    </w:p>
    <w:p>
      <w:pPr>
        <w:ind w:left="1100" w:right="280" w:hanging="488"/>
        <w:spacing w:after="0" w:line="278" w:lineRule="auto"/>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currency and regulatory risks and potential additional cybersecurity and compliance risks resulting from entry into new markets;</w:t>
      </w:r>
    </w:p>
    <w:p>
      <w:pPr>
        <w:spacing w:after="0" w:line="60" w:lineRule="exact"/>
        <w:rPr>
          <w:rFonts w:ascii="Arial" w:cs="Arial" w:eastAsia="Arial" w:hAnsi="Arial"/>
          <w:sz w:val="20"/>
          <w:szCs w:val="20"/>
          <w:color w:val="1E1E1E"/>
        </w:rPr>
      </w:pPr>
    </w:p>
    <w:p>
      <w:pPr>
        <w:ind w:left="1100" w:right="760" w:hanging="488"/>
        <w:spacing w:after="0" w:line="278" w:lineRule="auto"/>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tax effects and costs of any such acquisitions, including the related integration into our tax structure and assessment of the impact on the realizability of our future tax assets or liabilities; and</w:t>
      </w:r>
    </w:p>
    <w:p>
      <w:pPr>
        <w:spacing w:after="0" w:line="60" w:lineRule="exact"/>
        <w:rPr>
          <w:rFonts w:ascii="Arial" w:cs="Arial" w:eastAsia="Arial" w:hAnsi="Arial"/>
          <w:sz w:val="20"/>
          <w:szCs w:val="20"/>
          <w:color w:val="1E1E1E"/>
        </w:rPr>
      </w:pPr>
    </w:p>
    <w:p>
      <w:pPr>
        <w:ind w:left="1100" w:right="140" w:hanging="488"/>
        <w:spacing w:after="0" w:line="278" w:lineRule="auto"/>
        <w:tabs>
          <w:tab w:leader="none" w:pos="1100" w:val="left"/>
        </w:tabs>
        <w:numPr>
          <w:ilvl w:val="0"/>
          <w:numId w:val="11"/>
        </w:numPr>
        <w:rPr>
          <w:rFonts w:ascii="Arial" w:cs="Arial" w:eastAsia="Arial" w:hAnsi="Arial"/>
          <w:sz w:val="20"/>
          <w:szCs w:val="20"/>
          <w:color w:val="1E1E1E"/>
        </w:rPr>
      </w:pPr>
      <w:r>
        <w:rPr>
          <w:rFonts w:ascii="Times New Roman" w:cs="Times New Roman" w:eastAsia="Times New Roman" w:hAnsi="Times New Roman"/>
          <w:sz w:val="20"/>
          <w:szCs w:val="20"/>
          <w:color w:val="1E1E1E"/>
        </w:rPr>
        <w:t>potential challenges by governmental authorities, including the U.S. Department of Justice, for anti-competitive or other reasons.</w:t>
      </w:r>
    </w:p>
    <w:p>
      <w:pPr>
        <w:spacing w:after="0" w:line="4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Any of these risks could harm our business. In addition, to facilitate these acquisitions or investments, we may seek additional equity or debt financing, which may not be available on terms favorable to us or at all, including in light of difficult macroeconomic conditions such as high interest rates and volatility in the capital markets, and may affect our ability to complete subsequent acquisitions or investments and increase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32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fail to maintain adequate operational and financial resources, particularly if we continue to grow rapidly, we may be unable to execute our business plan or maintain high levels of service and customer satisfaction.</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have experienced, and expect to continue to experience, rapid growth, which has placed, and may continue to place, significant demands on our management and our operational and financial resources. As of December 31, 2023, we have one office located in Massachusetts, and as a result of prior acquisitions, an office in Sweden and an office in India. We have experienced significant growth in headcount, with approximately 670 employees in 2021 to over 950 employees in 2023.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with international expansion.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83"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E1E1E"/>
        </w:rPr>
        <w:t>To manage growth in our operations and personnel, we will need to continue to expand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 In light of macroeconomic conditions and their actual and potential future impacts on our business, we have made and expect to continue to make efforts to contain our operating expenses, including implementing restructuring plans in the first and third quarters of 2023 and in the first quarter of 2024. These efforts have placed additional strain on our employees and other resources and diverted attention from our operations, and may continue do so, which could impact our ability to operate our business effectively.</w:t>
      </w:r>
    </w:p>
    <w:p>
      <w:pPr>
        <w:sectPr>
          <w:pgSz w:w="11880" w:h="15480" w:orient="portrait"/>
          <w:cols w:equalWidth="0" w:num="1">
            <w:col w:w="10180"/>
          </w:cols>
          <w:pgMar w:left="820" w:top="821" w:right="88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180"/>
          </w:cols>
          <w:pgMar w:left="820" w:top="821" w:right="880" w:bottom="0" w:gutter="0" w:footer="0" w:header="0"/>
          <w:type w:val="continuous"/>
        </w:sectPr>
      </w:pPr>
    </w:p>
    <w:bookmarkStart w:id="20" w:name="page21"/>
    <w:bookmarkEnd w:id="20"/>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7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In addition, as we expand our business, it is important that we continue to maintain a high level of customer service and satisfaction. As our customer base continues to grow, we will need to increase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3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6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have been and may in the future be changes in our executive management team resulting from the hiring or departure of executives, which could disrupt our business. While we seek to manage these transitions carefully, including by establishing strong processes and procedures and succession planning, such changes may result in a loss of institutional knowledge and cause disruption to our business. The loss of one or more of our executive officers or key employees could have a material adverse effect on our business, financial condition and results of operations.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8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86"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and maintain our business.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220"/>
          </w:cols>
          <w:pgMar w:left="820" w:top="806" w:right="840" w:bottom="0" w:gutter="0" w:footer="0" w:header="0"/>
          <w:type w:val="continuous"/>
        </w:sectPr>
      </w:pPr>
    </w:p>
    <w:bookmarkStart w:id="21" w:name="page22"/>
    <w:bookmarkEnd w:id="21"/>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fail to protect and maintain our brand, our reputation may be harmed and our ability to attract and retain customers will be impaired.</w:t>
      </w:r>
    </w:p>
    <w:p>
      <w:pPr>
        <w:spacing w:after="0" w:line="4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7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E1E1E"/>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31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A substantial portion of our revenue and cash flows from sales of our subscriptions to our platform to customers in the healthcare ecosystem, and factors that adversely affect it, including health reform measures and mergers within the healthcare ecosystem or regulatory changes, could also adversely affect us.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Demand for our solutions could be affected by factors that affect the healthcare ecosystem, including:</w:t>
      </w:r>
    </w:p>
    <w:p>
      <w:pPr>
        <w:spacing w:after="0" w:line="134" w:lineRule="exact"/>
        <w:rPr>
          <w:sz w:val="20"/>
          <w:szCs w:val="20"/>
          <w:color w:val="auto"/>
        </w:rPr>
      </w:pPr>
    </w:p>
    <w:p>
      <w:pPr>
        <w:ind w:left="1100" w:right="220" w:hanging="488"/>
        <w:spacing w:after="0" w:line="252" w:lineRule="auto"/>
        <w:tabs>
          <w:tab w:leader="none" w:pos="1100" w:val="left"/>
        </w:tabs>
        <w:numPr>
          <w:ilvl w:val="0"/>
          <w:numId w:val="12"/>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regulations could negatively impact the business environment for us, our data sources, 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87" w:lineRule="exact"/>
        <w:rPr>
          <w:rFonts w:ascii="Arial" w:cs="Arial" w:eastAsia="Arial" w:hAnsi="Arial"/>
          <w:sz w:val="20"/>
          <w:szCs w:val="20"/>
          <w:color w:val="1E1E1E"/>
        </w:rPr>
      </w:pPr>
    </w:p>
    <w:p>
      <w:pPr>
        <w:ind w:left="1100" w:right="100" w:hanging="488"/>
        <w:spacing w:after="0" w:line="243" w:lineRule="auto"/>
        <w:tabs>
          <w:tab w:leader="none" w:pos="1100" w:val="left"/>
        </w:tabs>
        <w:numPr>
          <w:ilvl w:val="0"/>
          <w:numId w:val="12"/>
        </w:numPr>
        <w:rPr>
          <w:rFonts w:ascii="Arial" w:cs="Arial" w:eastAsia="Arial" w:hAnsi="Arial"/>
          <w:sz w:val="20"/>
          <w:szCs w:val="20"/>
          <w:color w:val="1E1E1E"/>
        </w:rPr>
      </w:pPr>
      <w:r>
        <w:rPr>
          <w:rFonts w:ascii="Times New Roman" w:cs="Times New Roman" w:eastAsia="Times New Roman" w:hAnsi="Times New Roman"/>
          <w:sz w:val="20"/>
          <w:szCs w:val="20"/>
          <w:color w:val="1E1E1E"/>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98" w:lineRule="exact"/>
        <w:rPr>
          <w:rFonts w:ascii="Arial" w:cs="Arial" w:eastAsia="Arial" w:hAnsi="Arial"/>
          <w:sz w:val="20"/>
          <w:szCs w:val="20"/>
          <w:color w:val="1E1E1E"/>
        </w:rPr>
      </w:pPr>
    </w:p>
    <w:p>
      <w:pPr>
        <w:jc w:val="both"/>
        <w:ind w:left="1100" w:right="200" w:hanging="488"/>
        <w:spacing w:after="0" w:line="259" w:lineRule="auto"/>
        <w:tabs>
          <w:tab w:leader="none" w:pos="1100" w:val="left"/>
        </w:tabs>
        <w:numPr>
          <w:ilvl w:val="0"/>
          <w:numId w:val="12"/>
        </w:numPr>
        <w:rPr>
          <w:rFonts w:ascii="Arial" w:cs="Arial" w:eastAsia="Arial" w:hAnsi="Arial"/>
          <w:sz w:val="20"/>
          <w:szCs w:val="20"/>
          <w:color w:val="1E1E1E"/>
        </w:rPr>
      </w:pPr>
      <w:r>
        <w:rPr>
          <w:rFonts w:ascii="Times New Roman" w:cs="Times New Roman" w:eastAsia="Times New Roman" w:hAnsi="Times New Roman"/>
          <w:sz w:val="20"/>
          <w:szCs w:val="20"/>
          <w:color w:val="1E1E1E"/>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78" w:lineRule="exact"/>
        <w:rPr>
          <w:rFonts w:ascii="Arial" w:cs="Arial" w:eastAsia="Arial" w:hAnsi="Arial"/>
          <w:sz w:val="20"/>
          <w:szCs w:val="20"/>
          <w:color w:val="1E1E1E"/>
        </w:rPr>
      </w:pPr>
    </w:p>
    <w:p>
      <w:pPr>
        <w:ind w:left="1100" w:right="20" w:hanging="488"/>
        <w:spacing w:after="0" w:line="245" w:lineRule="auto"/>
        <w:tabs>
          <w:tab w:leader="none" w:pos="1100" w:val="left"/>
        </w:tabs>
        <w:numPr>
          <w:ilvl w:val="0"/>
          <w:numId w:val="12"/>
        </w:numPr>
        <w:rPr>
          <w:rFonts w:ascii="Arial" w:cs="Arial" w:eastAsia="Arial" w:hAnsi="Arial"/>
          <w:sz w:val="20"/>
          <w:szCs w:val="20"/>
          <w:color w:val="1E1E1E"/>
        </w:rPr>
      </w:pPr>
      <w:r>
        <w:rPr>
          <w:rFonts w:ascii="Times New Roman" w:cs="Times New Roman" w:eastAsia="Times New Roman" w:hAnsi="Times New Roman"/>
          <w:sz w:val="20"/>
          <w:szCs w:val="20"/>
          <w:color w:val="1E1E1E"/>
        </w:rPr>
        <w:t>The implications of precision medicine treatments, changes in the practices of prescribing providers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public health crises,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220"/>
          </w:cols>
          <w:pgMar w:left="820" w:top="808" w:right="840" w:bottom="0" w:gutter="0" w:footer="0" w:header="0"/>
          <w:type w:val="continuous"/>
        </w:sectPr>
      </w:pPr>
    </w:p>
    <w:bookmarkStart w:id="22" w:name="page23"/>
    <w:bookmarkEnd w:id="22"/>
    <w:p>
      <w:pPr>
        <w:ind w:left="1100" w:right="20" w:hanging="488"/>
        <w:spacing w:after="0" w:line="243" w:lineRule="auto"/>
        <w:tabs>
          <w:tab w:leader="none" w:pos="1100" w:val="left"/>
        </w:tabs>
        <w:numPr>
          <w:ilvl w:val="0"/>
          <w:numId w:val="13"/>
        </w:numPr>
        <w:rPr>
          <w:rFonts w:ascii="Arial" w:cs="Arial" w:eastAsia="Arial" w:hAnsi="Arial"/>
          <w:sz w:val="20"/>
          <w:szCs w:val="20"/>
          <w:color w:val="1E1E1E"/>
        </w:rPr>
      </w:pPr>
      <w:r>
        <w:rPr>
          <w:rFonts w:ascii="Times New Roman" w:cs="Times New Roman" w:eastAsia="Times New Roman" w:hAnsi="Times New Roman"/>
          <w:sz w:val="20"/>
          <w:szCs w:val="20"/>
          <w:color w:val="1E1E1E"/>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We have seen this happen in response to difficult macroeconomic conditions and expect it will continue until they improve. In particular, these trends have been more pronounced for our existing and prospective life science and provider customers. For example, difficult macroeconomic conditions have impacted our existing and prospective customers and their business spendings, which has in some cases resulted in longer deal cycles, more stringent approval processes and deferred purchasing decisions, and we expect this to continue until macroeconomic conditions improve. Such macroeconomic conditions may also result in reductions in sales of our solutions, reductions in subscription duration and value, slower adoption of new solutions, and increased price competition.</w:t>
      </w:r>
    </w:p>
    <w:p>
      <w:pPr>
        <w:spacing w:after="0" w:line="85"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1E1E1E"/>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307"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Changes in the sizes or types of organizations that subscribe to our platform could affect our business and our financial results may fluctuate due to increasing variability in our sales cycles.</w:t>
      </w:r>
    </w:p>
    <w:p>
      <w:pPr>
        <w:spacing w:after="0" w:line="4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94" w:lineRule="exact"/>
        <w:rPr>
          <w:sz w:val="20"/>
          <w:szCs w:val="20"/>
          <w:color w:val="auto"/>
        </w:rPr>
      </w:pPr>
    </w:p>
    <w:p>
      <w:pPr>
        <w:ind w:left="1100" w:hanging="488"/>
        <w:spacing w:after="0"/>
        <w:tabs>
          <w:tab w:leader="none" w:pos="110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the need to educate prospective customers about the uses and benefits of our platform;</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the discretionary nature of purchase and budget cycles and decisions;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evolving functionality demands;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announcements of planned introductions of new intelligence modules by us or our competitors; and</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4"/>
        </w:numPr>
        <w:rPr>
          <w:rFonts w:ascii="Arial" w:cs="Arial" w:eastAsia="Arial" w:hAnsi="Arial"/>
          <w:sz w:val="20"/>
          <w:szCs w:val="20"/>
          <w:color w:val="1E1E1E"/>
        </w:rPr>
      </w:pPr>
      <w:r>
        <w:rPr>
          <w:rFonts w:ascii="Times New Roman" w:cs="Times New Roman" w:eastAsia="Times New Roman" w:hAnsi="Times New Roman"/>
          <w:sz w:val="20"/>
          <w:szCs w:val="20"/>
          <w:color w:val="1E1E1E"/>
        </w:rPr>
        <w:t>lengthy and multi-faceted purchasing approval processes.</w:t>
      </w:r>
    </w:p>
    <w:p>
      <w:pPr>
        <w:spacing w:after="0" w:line="119" w:lineRule="exact"/>
        <w:rPr>
          <w:sz w:val="20"/>
          <w:szCs w:val="20"/>
          <w:color w:val="auto"/>
        </w:rPr>
      </w:pPr>
    </w:p>
    <w:p>
      <w:pPr>
        <w:jc w:val="both"/>
        <w:ind w:right="40" w:firstLine="490"/>
        <w:spacing w:after="0" w:line="279" w:lineRule="auto"/>
        <w:rPr>
          <w:sz w:val="20"/>
          <w:szCs w:val="20"/>
          <w:color w:val="auto"/>
        </w:rPr>
      </w:pPr>
      <w:r>
        <w:rPr>
          <w:rFonts w:ascii="Times New Roman" w:cs="Times New Roman" w:eastAsia="Times New Roman" w:hAnsi="Times New Roman"/>
          <w:sz w:val="20"/>
          <w:szCs w:val="20"/>
          <w:color w:val="1E1E1E"/>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If we have overestimated the size of our total addressable market, our future growth rate may be limited.</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8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Even if our total addressable market meets our size estimates and experiences growth, we may not continue to grow our share of the market. Our growth is subject to many factors, including our success in implementing our business strategy and the activities of our current and potential future competitors, which are subject to many risks and uncertainties. Accordingly, our estimates of our total addressable market should not be taken as indicative of our ability to grow our business.</w:t>
      </w:r>
    </w:p>
    <w:p>
      <w:pPr>
        <w:sectPr>
          <w:pgSz w:w="11880" w:h="15480" w:orient="portrait"/>
          <w:cols w:equalWidth="0" w:num="1">
            <w:col w:w="10220"/>
          </w:cols>
          <w:pgMar w:left="820" w:top="82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220"/>
          </w:cols>
          <w:pgMar w:left="820" w:top="821" w:right="840" w:bottom="0" w:gutter="0" w:footer="0" w:header="0"/>
          <w:type w:val="continuous"/>
        </w:sectPr>
      </w:pPr>
    </w:p>
    <w:bookmarkStart w:id="23" w:name="page24"/>
    <w:bookmarkEnd w:id="23"/>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business could be negatively affected by changes in search engine algorithms and dynamics or other traffic-generating arrangements.</w:t>
      </w:r>
    </w:p>
    <w:p>
      <w:pPr>
        <w:spacing w:after="0" w:line="4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Operations outside the U.S. expose us to risks inherent in international operations.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Our Monocl business, along with the acquisition of AW in 2022, create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32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have a limited operating history in an evolving industry, which makes it difficult to forecast our revenue and evaluate our business and future prospects.</w:t>
      </w:r>
    </w:p>
    <w:p>
      <w:pPr>
        <w:spacing w:after="0" w:line="46"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1E1E1E"/>
        </w:rPr>
        <w:t>We have a limited operating history at the current scale of our business in an evolving industry that may not develop as expected, if at all. As a result, our ability to forecast our future results of operations and plan for and model future growth is limited and subject to a number of uncertainties, and our historical operating results may not be indicative of our future operating results, making it difficult to assess our future prospects. We have encountered and expect to continue to encounter risks and uncertainties frequently experienced by growing companies in rapidly evolving industries, such as the risks and uncertainties described herein. In addition, we have faced and continue to face evolving macroeconomic conditions that negatively impact our business and future prospects, which are hard to predict. Accordingly, we may be unable to prepare accurate internal financial forecasts or replace anticipated revenue that we do not receive as a result of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330" w:lineRule="exact"/>
        <w:rPr>
          <w:sz w:val="20"/>
          <w:szCs w:val="20"/>
          <w:color w:val="auto"/>
        </w:rPr>
      </w:pPr>
    </w:p>
    <w:p>
      <w:pPr>
        <w:ind w:right="64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64"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1E1E1E"/>
        </w:rPr>
        <w:t>We may require additional financing, and we may not be able to obtain debt or equity financing on favorable terms, if at all. The terms of any additional debt financing may be similar or more restrictive than our current debt facilities. Difficult macroeconomic conditions, including high interest rates and volatility in the capital markets, exacerbate this risk.</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If we need additional capital and cannot raise it on acceptable terms, or at all, we may not be able to, among other things:</w:t>
      </w:r>
    </w:p>
    <w:p>
      <w:pPr>
        <w:spacing w:after="0" w:line="134" w:lineRule="exact"/>
        <w:rPr>
          <w:sz w:val="20"/>
          <w:szCs w:val="20"/>
          <w:color w:val="auto"/>
        </w:rPr>
      </w:pPr>
    </w:p>
    <w:p>
      <w:pPr>
        <w:ind w:left="1100" w:hanging="488"/>
        <w:spacing w:after="0"/>
        <w:tabs>
          <w:tab w:leader="none" w:pos="1100" w:val="left"/>
        </w:tabs>
        <w:numPr>
          <w:ilvl w:val="0"/>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develop new features, intelligence modules, updates, integrations, capabilities and enhancements;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continue to provide synthesis of real-time data;</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hire, train and retain employees;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respond to competitive pressures or unanticipated working capital requirements; or</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5"/>
        </w:numPr>
        <w:rPr>
          <w:rFonts w:ascii="Arial" w:cs="Arial" w:eastAsia="Arial" w:hAnsi="Arial"/>
          <w:sz w:val="20"/>
          <w:szCs w:val="20"/>
          <w:color w:val="1E1E1E"/>
        </w:rPr>
      </w:pPr>
      <w:r>
        <w:rPr>
          <w:rFonts w:ascii="Times New Roman" w:cs="Times New Roman" w:eastAsia="Times New Roman" w:hAnsi="Times New Roman"/>
          <w:sz w:val="20"/>
          <w:szCs w:val="20"/>
          <w:color w:val="1E1E1E"/>
        </w:rPr>
        <w:t>pursue acquisition opportunities.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220"/>
          </w:cols>
          <w:pgMar w:left="820" w:top="808" w:right="840" w:bottom="0" w:gutter="0" w:footer="0" w:header="0"/>
          <w:type w:val="continuous"/>
        </w:sectPr>
      </w:pPr>
    </w:p>
    <w:bookmarkStart w:id="24" w:name="page25"/>
    <w:bookmarkEnd w:id="24"/>
    <w:p>
      <w:pPr>
        <w:ind w:right="820"/>
        <w:spacing w:after="0" w:line="305" w:lineRule="auto"/>
        <w:rPr>
          <w:sz w:val="20"/>
          <w:szCs w:val="20"/>
          <w:color w:val="auto"/>
        </w:rPr>
      </w:pPr>
      <w:r>
        <w:rPr>
          <w:rFonts w:ascii="Times New Roman" w:cs="Times New Roman" w:eastAsia="Times New Roman" w:hAnsi="Times New Roman"/>
          <w:sz w:val="19"/>
          <w:szCs w:val="19"/>
          <w:b w:val="1"/>
          <w:bCs w:val="1"/>
          <w:i w:val="1"/>
          <w:iCs w:val="1"/>
          <w:color w:val="1E1E1E"/>
        </w:rPr>
        <w:t>We have recently undertaken internal restructuring activities, and may do so again in the future. The assumptions underlying these activities may prove to be inaccurate, or we may fail to achieve the expected benefits therefrom.</w:t>
      </w:r>
    </w:p>
    <w:p>
      <w:pPr>
        <w:spacing w:after="0" w:line="2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In light of recent macroeconomic conditions, we have made, and will continue to make, judgments as to whether we should further reduce, relocate or otherwise change our workforce. For example, in January 2024, we took certain actions to reduce our global headcount by 154 employees.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estimate that we will incur pre-tax cash restructuring and related charges of approximately $6.5 million to $7.2 million in the first half of 2024, consisting primarily of severance payments, employee benefits, and related cash expenses, as well as a non-cash stock-based compensation charge related to the vesting of share-based awards for employees who are terminated. We may not complete the current or any future restructuring activities on the anticipated timetable, and even if successfully completed, we may not achieve the anticipated cost savings, operating efficiencies or other benefits of such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Catastrophic events could disrupt our business and adversely affect our operating results.</w:t>
      </w:r>
    </w:p>
    <w:p>
      <w:pPr>
        <w:spacing w:after="0" w:line="118" w:lineRule="exact"/>
        <w:rPr>
          <w:sz w:val="20"/>
          <w:szCs w:val="20"/>
          <w:color w:val="auto"/>
        </w:rPr>
      </w:pPr>
    </w:p>
    <w:p>
      <w:pPr>
        <w:ind w:right="80" w:firstLine="540"/>
        <w:spacing w:after="0" w:line="244" w:lineRule="auto"/>
        <w:rPr>
          <w:sz w:val="20"/>
          <w:szCs w:val="20"/>
          <w:color w:val="auto"/>
        </w:rPr>
      </w:pPr>
      <w:r>
        <w:rPr>
          <w:rFonts w:ascii="Times New Roman" w:cs="Times New Roman" w:eastAsia="Times New Roman" w:hAnsi="Times New Roman"/>
          <w:sz w:val="20"/>
          <w:szCs w:val="20"/>
          <w:color w:val="1E1E1E"/>
        </w:rPr>
        <w:t>We are a global technology company with a corporate headquarters located in Framingham, Massachusetts and international offices in Sweden and India.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spacing w:after="0" w:line="8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Global geopolitical tension may also be disruptive to our business, including as a result of the military conflict between Russia and Ukraine and the evolving conflict in Israel and surrounding areas. The sanctions announced by the U.S. and other countries against Russia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these conflicts, which have included or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spacing w:after="0" w:line="327"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solutions utilize open-source software, and any failure to comply with the terms of one or more of these open-source licenses could adversely affect our business.</w:t>
      </w:r>
    </w:p>
    <w:p>
      <w:pPr>
        <w:spacing w:after="0" w:line="46"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E1E1E"/>
        </w:rPr>
        <w:t>Our solutions include software subject to open-source licenses and we may incorporate third-party open source software in our solutions in the future. Particular uses of open-source software and the terms of various open-source licenses have not been interpreted by U.S. courts, and there is a risk that such use or licenses could be construed in a manner that imposes unanticipated conditions or restrictions with respect to our platform and proprietary technology.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We could also be required to expend substantial time and resources to re-engineer some of our software. Any of the foregoing could disrupt and harm our business.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220"/>
          </w:cols>
          <w:pgMar w:left="820" w:top="808" w:right="840" w:bottom="0" w:gutter="0" w:footer="0" w:header="0"/>
          <w:type w:val="continuous"/>
        </w:sectPr>
      </w:pPr>
    </w:p>
    <w:bookmarkStart w:id="25" w:name="page26"/>
    <w:bookmarkEnd w:id="25"/>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Additionally, the use of certain open-source software in certain manners requires that other licensees be granted the right to make any derivative works of any proprietary software linked to or used with the open-source code, or make such proprietary software available to others on terms that are unfavorable to such licensee or at no cost. This can effectively render what was previously proprietary software open-source software.</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and each of such instances could reduce or eliminate the value of our solutions. In addition to risks related to license requirements, use of open-source software can lead to greater risks than use of third-party commercial software, as open-source licensors generally do not provide warranties, controls on the origin of the software, bug fixing, or security scans. Use of open-source software may also present additional security risks because the public availability of such software may make it easier for hackers and other third parties to determine how to compromise our solutions. Any of the foregoing could harm our business and could help our competitors develop platforms and applications that are similar to or better than ours.</w:t>
      </w:r>
    </w:p>
    <w:p>
      <w:pPr>
        <w:spacing w:after="0" w:line="330"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are subject to subscription and payment processing risk from our third-party vendors and any disruption to such processing systems could have a material adverse effect on our business, financial condition and results of operations.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ectPr>
          <w:pgSz w:w="11880" w:h="15480" w:orient="portrait"/>
          <w:cols w:equalWidth="0" w:num="1">
            <w:col w:w="10200"/>
          </w:cols>
          <w:pgMar w:left="820" w:top="8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200"/>
          </w:cols>
          <w:pgMar w:left="820" w:top="806" w:right="8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1E1E1E"/>
        </w:rPr>
        <w:t>Risks Related to Data Privacy and Cybersecurity</w:t>
      </w:r>
    </w:p>
    <w:p>
      <w:pPr>
        <w:spacing w:after="0" w:line="12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If our information technology systems or those of third parties upon which we rely, or our data are or were compromised, we could experience material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7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E1E1E"/>
        </w:rPr>
        <w:t>In the ordinary course of business, including when we provide our solutions to customers,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As a result, our business, brand, reputation and ability to attract and retain customers depends upon the satisfactory performance, reliability, and availability of our platform and solutions.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88"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1E1E1E"/>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7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 flood, power loss, system failures, computer viruses, software errors, physical or electronic break-ins or malicious hacks or attacks on our systems (such as denial of service attacks), and other similar threats.</w:t>
      </w:r>
    </w:p>
    <w:p>
      <w:pPr>
        <w:spacing w:after="0" w:line="82"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1E1E1E"/>
        </w:rPr>
        <w:t>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7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In particular, severe ransomware attacks are becoming increasingly prevalent and can lead to significant interruptions in our operations, ability to provide our products or services, loss of sensitive data and income, and diversion of funds. Extortion payments may alleviate the negative impact of a ransomware attack, but we may be unwilling or unable to make such payments due to, for example, applicable laws or regulations prohibiting such payments.</w:t>
      </w:r>
    </w:p>
    <w:p>
      <w:pPr>
        <w:spacing w:after="0" w:line="70"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Further, our platform utilizes certain A.I. and machine learning technology to provide services, and this technology is integrated into the platform, making us susceptible to additional cybersecurity threats. Additionally, confidential and sensitive data of the Company and our customers may be leaked, disclosed, or revealed as a result of or in connection with our employees’, personnel’s, or vendors’ use of A.I. and machine learning technologies.</w:t>
      </w:r>
    </w:p>
    <w:p>
      <w:pPr>
        <w:spacing w:after="0" w:line="7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ectPr>
          <w:pgSz w:w="11880" w:h="15480" w:orient="portrait"/>
          <w:cols w:equalWidth="0" w:num="1">
            <w:col w:w="10220"/>
          </w:cols>
          <w:pgMar w:left="820" w:top="803" w:right="840" w:bottom="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220"/>
          </w:cols>
          <w:pgMar w:left="820" w:top="803" w:right="840" w:bottom="0" w:gutter="0" w:footer="0" w:header="0"/>
          <w:type w:val="continuous"/>
        </w:sectPr>
      </w:pPr>
    </w:p>
    <w:bookmarkStart w:id="27" w:name="page28"/>
    <w:bookmarkEnd w:id="27"/>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We have also outsourced elements of our information technology infrastructure to third parties,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reliance on these third-party service providers could introduce new cybersecurity risks and vulnerabilities, including supply-chain attacks, and other threats to our business operations.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6"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E1E1E"/>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70" w:lineRule="exact"/>
        <w:rPr>
          <w:sz w:val="20"/>
          <w:szCs w:val="20"/>
          <w:color w:val="auto"/>
        </w:rPr>
      </w:pPr>
    </w:p>
    <w:p>
      <w:pPr>
        <w:ind w:right="360" w:firstLine="490"/>
        <w:spacing w:after="0" w:line="253" w:lineRule="auto"/>
        <w:rPr>
          <w:sz w:val="20"/>
          <w:szCs w:val="20"/>
          <w:color w:val="auto"/>
        </w:rPr>
      </w:pPr>
      <w:r>
        <w:rPr>
          <w:rFonts w:ascii="Times New Roman" w:cs="Times New Roman" w:eastAsia="Times New Roman" w:hAnsi="Times New Roman"/>
          <w:sz w:val="20"/>
          <w:szCs w:val="20"/>
          <w:color w:val="1E1E1E"/>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70" w:lineRule="exact"/>
        <w:rPr>
          <w:sz w:val="20"/>
          <w:szCs w:val="20"/>
          <w:color w:val="auto"/>
        </w:rPr>
      </w:pPr>
    </w:p>
    <w:p>
      <w:pPr>
        <w:ind w:right="300" w:firstLine="490"/>
        <w:spacing w:after="0" w:line="259" w:lineRule="auto"/>
        <w:rPr>
          <w:sz w:val="20"/>
          <w:szCs w:val="20"/>
          <w:color w:val="auto"/>
        </w:rPr>
      </w:pPr>
      <w:r>
        <w:rPr>
          <w:rFonts w:ascii="Times New Roman" w:cs="Times New Roman" w:eastAsia="Times New Roman" w:hAnsi="Times New Roman"/>
          <w:sz w:val="20"/>
          <w:szCs w:val="20"/>
          <w:color w:val="1E1E1E"/>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65"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E1E1E"/>
        </w:rPr>
        <w:t>If we (or a third party upon whom we rely) experience a security incident or are unable to protect our computer systems, software, networks, sensitive data and other technology assets, or there is a perception that we have failed to do so,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These events may have a material adverse effect on our business, financial condition, and results of operations.</w:t>
      </w:r>
    </w:p>
    <w:p>
      <w:pPr>
        <w:spacing w:after="0" w:line="8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maintain insurance policies that cover certain security and privacy damages. However, we cannot guarantee that our coverage will be adequate for liabilities actually incurred or that insurance will continue to be available to us on economically reasonable terms, or at all.</w:t>
      </w:r>
    </w:p>
    <w:p>
      <w:pPr>
        <w:spacing w:after="0" w:line="77" w:lineRule="exact"/>
        <w:rPr>
          <w:sz w:val="20"/>
          <w:szCs w:val="20"/>
          <w:color w:val="auto"/>
        </w:rPr>
      </w:pPr>
    </w:p>
    <w:p>
      <w:pPr>
        <w:jc w:val="both"/>
        <w:ind w:right="300" w:firstLine="490"/>
        <w:spacing w:after="0" w:line="259" w:lineRule="auto"/>
        <w:rPr>
          <w:sz w:val="20"/>
          <w:szCs w:val="20"/>
          <w:color w:val="auto"/>
        </w:rPr>
      </w:pPr>
      <w:r>
        <w:rPr>
          <w:rFonts w:ascii="Times New Roman" w:cs="Times New Roman" w:eastAsia="Times New Roman" w:hAnsi="Times New Roman"/>
          <w:sz w:val="20"/>
          <w:szCs w:val="20"/>
          <w:color w:val="1E1E1E"/>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ectPr>
          <w:pgSz w:w="11880" w:h="15480" w:orient="portrait"/>
          <w:cols w:equalWidth="0" w:num="1">
            <w:col w:w="10200"/>
          </w:cols>
          <w:pgMar w:left="820" w:top="80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200"/>
          </w:cols>
          <w:pgMar w:left="820" w:top="806" w:right="860" w:bottom="0" w:gutter="0" w:footer="0" w:header="0"/>
          <w:type w:val="continuous"/>
        </w:sectPr>
      </w:pPr>
    </w:p>
    <w:bookmarkStart w:id="28" w:name="page29"/>
    <w:bookmarkEnd w:id="28"/>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Our actual or perceived failure to comply with applicable U.S. and foreign privacy and security laws, regulations, industry standards, contractual obligations, and other requirements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2"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1E1E1E"/>
        </w:rPr>
        <w:t>Our customers use our solutions to understand and navigate the healthcare ecosystem. As a result, we process sensitive data that subjects us to a variety of laws, regulations, guidance, industry standards, external and internal privacy and security policies, contractual requirements, and other obligations relating to data privacy and security. In the United States, federal, state, and local governments have enacted numerous data privacy and security laws, including data breach notification laws, data privacy laws, consumer protection laws (e.g., Section 5 of the Federal Trade Commission Act), and other similar laws (e.g., wiretapping laws).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data, necessitate the acceptance of more onerous obligations in our contracts, result in liability or impose additional costs on us. These laws, regulations, and other obligations may also be interpreted and applied inconsistently from jurisdiction to jurisdiction which may make compliance difficult or impossible in certain circumstances.</w:t>
      </w:r>
    </w:p>
    <w:p>
      <w:pPr>
        <w:spacing w:after="0" w:line="83"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 We are also required to ensure that such information remains de-identified and our failure to do so could result in non-compliance with Privacy Laws and contractual obligations.</w:t>
      </w:r>
    </w:p>
    <w:p>
      <w:pPr>
        <w:spacing w:after="0" w:line="88"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1E1E1E"/>
        </w:rPr>
        <w:t>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 and their covered subcontractors.</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Certain of our customers may be either “business associates” or “covered entities” under HIPAA, including certain of our customers that are not traditional healthcare providers. For example, some of our customers are medical device companies that may work with healthcare professionals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8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Further, our use of A.I. and M.L. technologies may be subject to laws and evolving regulations regarding the use of A.I., controlling for data bias, and antidiscrimination. For example, due to inaccuracies or flaws in the inputs, outputs, or logic of the A.I. and machine learning, the model could be biased and could lead us to make decisions that could bias certain individuals (or classes of individuals), and adversely impact their rights, employment, and ability to obtain certain pricing, products, services, or benefits. the Federal Trade Commission (“FTC”) enforces consumer protection laws such as Section 5 of the FTC Act, the Fair Credit Reporting Act, and the Equal Credit Opportunity Act, which prohibit unfair and deceptive practices, including use of biased algorithms in AI. The FTC has required other companies to turn over (or disgorge) valuable insights or trainings generated through the use of A.I. and machine learning where they allege the company has violated privacy and consumer protection laws. Several jurisdictions around the globe have proposed or enacted laws governing A.I., such as the European Union's (“EU's”) AI Act, and we expect other jurisdictions will adopt similar laws. The cost of compliance with these laws, regulations and standards is high and is likely to increase in the future. Furthermore, if we cannot use A.I. and machine learning or that use is restricted, our business may be less efficient, or we may be at a competitive disadvantage.</w:t>
      </w:r>
    </w:p>
    <w:p>
      <w:pPr>
        <w:sectPr>
          <w:pgSz w:w="11880" w:h="15480" w:orient="portrait"/>
          <w:cols w:equalWidth="0" w:num="1">
            <w:col w:w="10220"/>
          </w:cols>
          <w:pgMar w:left="820" w:top="808" w:right="840" w:bottom="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220"/>
          </w:cols>
          <w:pgMar w:left="820" w:top="808" w:right="840" w:bottom="0" w:gutter="0" w:footer="0" w:header="0"/>
          <w:type w:val="continuous"/>
        </w:sectPr>
      </w:pPr>
    </w:p>
    <w:bookmarkStart w:id="29" w:name="page30"/>
    <w:bookmarkEnd w:id="29"/>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If we are unable to maintain these certifications or meet these standards, it could reduce demand for our solutions and adversely affect our business and operating results.</w:t>
      </w:r>
    </w:p>
    <w:p>
      <w:pPr>
        <w:spacing w:after="0" w:line="8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1E1E1E"/>
        </w:rPr>
        <w:t>Many data privacy and security obligations protect more than health-related information, and although they vary by jurisdiction, these obligations can extend to employee information, business information, healthcare provider information and other information relating to individuals. Our actual or perceived failure to comply with these laws may result in, among other things, civil and criminal liability, negative publicity, damage to our reputation and liability under contractual provisions. These obligations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82"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data,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Many similar laws have been proposed or enacted at the federal and local levels,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91" w:lineRule="exact"/>
        <w:rPr>
          <w:sz w:val="20"/>
          <w:szCs w:val="20"/>
          <w:color w:val="auto"/>
        </w:rPr>
      </w:pPr>
    </w:p>
    <w:p>
      <w:pPr>
        <w:ind w:firstLine="540"/>
        <w:spacing w:after="0" w:line="244" w:lineRule="auto"/>
        <w:rPr>
          <w:sz w:val="20"/>
          <w:szCs w:val="20"/>
          <w:color w:val="auto"/>
        </w:rPr>
      </w:pPr>
      <w:r>
        <w:rPr>
          <w:rFonts w:ascii="Times New Roman" w:cs="Times New Roman" w:eastAsia="Times New Roman" w:hAnsi="Times New Roman"/>
          <w:sz w:val="20"/>
          <w:szCs w:val="20"/>
          <w:color w:val="1E1E1E"/>
        </w:rPr>
        <w:t>Furthermore, our business relies on the acquisition and sale of data, including data obtained from third-party data suppliers. The acquisition and sale of data from or to third parties has become subject to increased regulatory scrutiny. Therefore, obtaining and selling data from third parties carries risk to us as a data purchaser and reseller. For example, as a data supplier, we are required to register as a data broker under California, Oregon, and Vermont law and file reports with regulators, which exposes us to increased scrutiny. Additionally, California’s Delete Act requires the CPPA to establish, by January 1, 2026, a mechanism to allow California consumers to submit a single, verifiable request to delete all of their personal data held by all registered data brokers and their service providers. Moreover, third-party data suppliers have recently been subject to increased litigation under various claims of violating certain state privacy laws. These laws and challenges may make it so difficult for us and our suppliers to provide the data and the costs associated with the data materially increase or may materially decrease the availability of data that we or our data suppliers can provide.</w:t>
      </w:r>
    </w:p>
    <w:p>
      <w:pPr>
        <w:spacing w:after="0" w:line="8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Additionally, under various privacy laws and other obligations, we may be required to obtain certain consents to process personal data. For example, some of our information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8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19"/>
          <w:szCs w:val="19"/>
          <w:color w:val="1E1E1E"/>
        </w:rPr>
        <w:t>We are, or may become, subject to foreign laws, regulations, and industry standards that govern data privacy and security, such as the EU GDPR, the UK GDPR, Canada’s Personal Information Protection and Electronic Documents Act, and China’s Personal Information Protection Law (“PIPL”), and other foreign data privacy, security, data localization and similar national, state/provincial and local laws which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Because our EU subsidiary, Monocl AB, operates under a Swedish publishing certificate issued in accordance with Swedish national law, such processing of personal data by our EU subsidiary comes under the Swedish constitutional protection enshrining freedom of expression and consequently falls within the scope of Article 85 EU GDPR and is exempt from certain core provisions of the EU GDPR. Legal</w:t>
      </w:r>
    </w:p>
    <w:p>
      <w:pPr>
        <w:sectPr>
          <w:pgSz w:w="11880" w:h="15480" w:orient="portrait"/>
          <w:cols w:equalWidth="0" w:num="1">
            <w:col w:w="10220"/>
          </w:cols>
          <w:pgMar w:left="820" w:top="806" w:right="840" w:bottom="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220"/>
          </w:cols>
          <w:pgMar w:left="820" w:top="806" w:right="840" w:bottom="0" w:gutter="0" w:footer="0" w:header="0"/>
          <w:type w:val="continuous"/>
        </w:sectPr>
      </w:pPr>
    </w:p>
    <w:bookmarkStart w:id="30" w:name="page31"/>
    <w:bookmarkEnd w:id="30"/>
    <w:p>
      <w:pPr>
        <w:ind w:right="20"/>
        <w:spacing w:after="0" w:line="279" w:lineRule="auto"/>
        <w:rPr>
          <w:sz w:val="20"/>
          <w:szCs w:val="20"/>
          <w:color w:val="auto"/>
        </w:rPr>
      </w:pPr>
      <w:r>
        <w:rPr>
          <w:rFonts w:ascii="Times New Roman" w:cs="Times New Roman" w:eastAsia="Times New Roman" w:hAnsi="Times New Roman"/>
          <w:sz w:val="20"/>
          <w:szCs w:val="20"/>
          <w:color w:val="1E1E1E"/>
        </w:rPr>
        <w:t>challenges against the general right to publish personal data based on the publishing certificate and consequent exemption from the GDPR, if upheld, may potentially result in the exemption being deemed invalid in certain circumstances</w:t>
      </w:r>
    </w:p>
    <w:p>
      <w:pPr>
        <w:spacing w:after="0" w:line="45"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E1E1E"/>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these existing or new mechanisms for transferring personal data from the EEA, the UK, or other jurisdictions are unavailable, we may be prevented from transferring personal data of employees, customers or others in those regions to the United States. The efficacy and longevity of current transfer mechanisms between the EU, the UK and the United States also remains uncertain. There is also a trend toward countries enacting data localization or other country specific requirements, which could be problematic to cloud software providers that we rely on to conduct our business.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w:t>
      </w:r>
    </w:p>
    <w:p>
      <w:pPr>
        <w:spacing w:after="0" w:line="96"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w:t>
      </w:r>
    </w:p>
    <w:p>
      <w:pPr>
        <w:spacing w:after="0" w:line="20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E1E1E"/>
        </w:rPr>
        <w:t>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obligations has and will continue to require valuable management and employee time and resources, and failure to comply with these regulations could include severe penalties and could reduce demand for our solutions. Any failure or perceived failure by us to comply with federal, state or foreign laws or regulation, our internal policies and procedures or our contracts governing our processing of personal data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82" w:lineRule="exact"/>
        <w:rPr>
          <w:sz w:val="20"/>
          <w:szCs w:val="20"/>
          <w:color w:val="auto"/>
        </w:rPr>
      </w:pPr>
    </w:p>
    <w:p>
      <w:pPr>
        <w:ind w:right="340" w:firstLine="490"/>
        <w:spacing w:after="0" w:line="253" w:lineRule="auto"/>
        <w:rPr>
          <w:sz w:val="20"/>
          <w:szCs w:val="20"/>
          <w:color w:val="auto"/>
        </w:rPr>
      </w:pPr>
      <w:r>
        <w:rPr>
          <w:rFonts w:ascii="Times New Roman" w:cs="Times New Roman" w:eastAsia="Times New Roman" w:hAnsi="Times New Roman"/>
          <w:sz w:val="20"/>
          <w:szCs w:val="20"/>
          <w:color w:val="1E1E1E"/>
        </w:rPr>
        <w:t>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Customers expect that our solutions can be used in compliance with privacy and security obligations. The functional and operational requirements and costs of compliance with such obligations may adversely impact our business, and failure to enable our solutions to comply with such obligations could lead to significant fines and penalties imposed by regulators, as well as claims by our customers or third parties. These domestic and foreign legislative and regulatory initiatives could adversely affect our customers’ ability or desire to collect, use, process, store and disclose personal data and health data using our solutions, or to license data products from us, which could reduce demand for our solutions.</w:t>
      </w:r>
    </w:p>
    <w:p>
      <w:pPr>
        <w:spacing w:after="0" w:line="8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E1E1E"/>
        </w:rPr>
        <w:t>We have established frameworks, models, processes and technologies designed to manage data privacy and security for many data types and from a variety of sources, though such measures may not always be effective. Due to the complex and evolving nature of privacy obligations, we cannot guarantee that the safeguards and controls employed by us, or third parties upon which we rely, will be sufficient to prevent a breach of these obligations, or that claims, complaints, investigations, or inquiries will not be filed or lodged against us or our data suppliers despite such safeguards and controls.</w:t>
      </w:r>
    </w:p>
    <w:p>
      <w:pPr>
        <w:sectPr>
          <w:pgSz w:w="11880" w:h="15480" w:orient="portrait"/>
          <w:cols w:equalWidth="0" w:num="1">
            <w:col w:w="10220"/>
          </w:cols>
          <w:pgMar w:left="820" w:top="806" w:right="840" w:bottom="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220"/>
          </w:cols>
          <w:pgMar w:left="820" w:top="806" w:right="840" w:bottom="0" w:gutter="0" w:footer="0" w:header="0"/>
          <w:type w:val="continuous"/>
        </w:sectPr>
      </w:pPr>
    </w:p>
    <w:bookmarkStart w:id="31" w:name="page32"/>
    <w:bookmarkEnd w:id="31"/>
    <w:p>
      <w:pPr>
        <w:ind w:firstLine="490"/>
        <w:spacing w:after="0" w:line="246" w:lineRule="auto"/>
        <w:rPr>
          <w:sz w:val="20"/>
          <w:szCs w:val="20"/>
          <w:color w:val="auto"/>
        </w:rPr>
      </w:pPr>
      <w:r>
        <w:rPr>
          <w:rFonts w:ascii="Times New Roman" w:cs="Times New Roman" w:eastAsia="Times New Roman" w:hAnsi="Times New Roman"/>
          <w:sz w:val="20"/>
          <w:szCs w:val="20"/>
          <w:color w:val="1E1E1E"/>
        </w:rPr>
        <w:t>Furthermore, we are bound by contractual obligations and industry standards related to data privacy and security, and our efforts to comply with such obligations may not be successful. For example, certain privacy laws require our customers to impose specific contractual restrictions on their service providers. Failure to comply with such contractual obligations, certain certification/registration requirement, annual re-certification/registration requirements associated with various privacy obligations, and failure to resolve any serious data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8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We may at times fail (or be perceived to have failed) in our efforts to comply with our data privacy and security obligations. Moreover, despite our efforts, our personnel or third parties upon which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220"/>
          </w:cols>
          <w:pgMar w:left="820" w:top="806" w:right="84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1E1E1E"/>
        </w:rPr>
        <w:t>Legal and Regulatory Risks</w:t>
      </w:r>
    </w:p>
    <w:p>
      <w:pPr>
        <w:spacing w:after="0" w:line="125"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64"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E1E1E"/>
        </w:rPr>
        <w:t>Our customers use our platform for business activities that are subject to a complex regime of global laws and regulations, including requirements for maintenance of electronic records and electronic signatures, requirements regarding processing of health data, healthcare fraud and abuse,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77"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Additionally, Populi participates in the Centers for Medicare &amp; Medicaid Services (“CMS”) Qualified Entity Certification Program (“QECP”) as a qualified entity and is subject to the QECP participant requirements. Failure to comply with such requirements could result in removal from the QECP and penalties.</w:t>
      </w:r>
    </w:p>
    <w:p>
      <w:pPr>
        <w:spacing w:after="0" w:line="30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are subject to sanctions, export controls,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6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E1E1E"/>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export controls, trade and economic sanctions laws and regulations, including those administered by the U.S. Treasury Department’s Office of Foreign Assets Control, the U.S. Department of Commerce, and the U.S. Department of State. These trade laws and regulations prohibit certain transactions involving sanctioned countries, governments, and persons without a license or other appropriate authorization. As we increase our international sales and business, our risks under these laws may increase. Changes to U.S. export and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220"/>
          </w:cols>
          <w:pgMar w:left="820" w:top="803" w:right="840" w:bottom="0" w:gutter="0" w:footer="0" w:header="0"/>
          <w:type w:val="continuous"/>
        </w:sectPr>
      </w:pPr>
    </w:p>
    <w:bookmarkStart w:id="33" w:name="page34"/>
    <w:bookmarkEnd w:id="33"/>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Any violation or allegation of violations of economic and trade sanctions laws, export controls,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could be subject to claims brought by our customers, which could be costly and time consuming to defend.</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321"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may be subject to litigation, investigations or other actions, which could harm our reputation and have a material adverse effect on our business, financial condition and results of operations.</w:t>
      </w:r>
    </w:p>
    <w:p>
      <w:pPr>
        <w:spacing w:after="0" w:line="4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In the ordinary course of business, we may be involved in and subject to litigation for a variety of claims or disputes and receive regulatory inquiries. These claims, lawsuits and proceedings could include labor and employment, wage and hour, commercial, intellectual property, data privacy and security,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8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In addition, we may be required to spend significant resources to monitor and protect our contractual, intellectual property and other rights, including collection of payments and fees and enforcement of intellectual property rights.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subject to liability if we breach our contracts, and our insurance may be inadequate to cover our losses.</w:t>
      </w:r>
    </w:p>
    <w:p>
      <w:pPr>
        <w:spacing w:after="0" w:line="118"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1E1E1E"/>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80" w:lineRule="exact"/>
        <w:rPr>
          <w:sz w:val="20"/>
          <w:szCs w:val="20"/>
          <w:color w:val="auto"/>
        </w:rPr>
      </w:pPr>
    </w:p>
    <w:p>
      <w:pPr>
        <w:jc w:val="both"/>
        <w:ind w:right="100" w:firstLine="490"/>
        <w:spacing w:after="0" w:line="259" w:lineRule="auto"/>
        <w:rPr>
          <w:sz w:val="20"/>
          <w:szCs w:val="20"/>
          <w:color w:val="auto"/>
        </w:rPr>
      </w:pPr>
      <w:r>
        <w:rPr>
          <w:rFonts w:ascii="Times New Roman" w:cs="Times New Roman" w:eastAsia="Times New Roman" w:hAnsi="Times New Roman"/>
          <w:sz w:val="20"/>
          <w:szCs w:val="20"/>
          <w:color w:val="1E1E1E"/>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ectPr>
          <w:pgSz w:w="11880" w:h="15480" w:orient="portrait"/>
          <w:cols w:equalWidth="0" w:num="1">
            <w:col w:w="10160"/>
          </w:cols>
          <w:pgMar w:left="820" w:top="80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160"/>
          </w:cols>
          <w:pgMar w:left="820" w:top="806" w:right="90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subject to legal liability for collecting, displaying or distributing information.</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data privacy and security.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ectPr>
          <w:pgSz w:w="11880" w:h="15480" w:orient="portrait"/>
          <w:cols w:equalWidth="0" w:num="1">
            <w:col w:w="10160"/>
          </w:cols>
          <w:pgMar w:left="820" w:top="80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160"/>
          </w:cols>
          <w:pgMar w:left="820" w:top="808" w:right="90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1E1E1E"/>
        </w:rPr>
        <w:t>Risks Related to Intellectual Property</w:t>
      </w:r>
    </w:p>
    <w:p>
      <w:pPr>
        <w:spacing w:after="0" w:line="125"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may not be able to adequately protect our proprietary and intellectual property rights in our data analytics or data science.</w:t>
      </w:r>
    </w:p>
    <w:p>
      <w:pPr>
        <w:spacing w:after="0" w:line="4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Our success is dependent, in part, upon protecting our proprietary information and technology including our trade secrets and other unregistered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protection, including by entering into confidentiality and non-disclosure agreements, and other contractual arrangements, along with copyright law, rather than on registered intellectual property such as patents, registered copyrights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Current law may not provide for adequate protection of our platform or proprietary information and technology.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proprietary information or technology,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To protect our intellectual property rights, we may be required to spend significant resources to monitor and protect these rights, and we may not be able to detect infringement or misappropriation by our customers, business partners, or other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and data from third parties to develop and market new features, integrations and capabilities, and we cannot be certain that we could license that technology or data on commercially reasonable terms or at all, and our inability to license this technology or data could harm our ability to compete and have a material adverse effect on our business, financial condition and results of operations.</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220"/>
          </w:cols>
          <w:pgMar w:left="820" w:top="803" w:right="84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subject to claims by others that we are infringing on their intellectual property rights.</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8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Third parties may assert claims that we or our customers infringe or otherwise violate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products or services that infringe or allegedly infringe on the plaintiff’s intellectual property rights. To resolve these claims, we may enter into licensing agreements with restrictive terms or significant fees, stop making our technology, products or services available, be required to implement costly redesigns to the affected technology, or products or services, or pay damages to satisfy contractual obligations to others. If we do not resolve these claims in advance of a trial, there is no guarantee that we will be successful in court. These outcomes could have a material adverse effect on our business, financial condition and operations.</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In addition, certain contracts with our suppliers or customers contain provisions whereby we are required to indemnify the counterparty for damages suffered as a result of claims related to intellectual property infringement and the use of data analytics by our technology, products, or services. Claims made under these provisions could be expensive to litigate and could result in significant payments. Even if we were to prevail in such a dispute, any litigation regarding our or others’ intellectual property could be costly and time-consuming and divert the attention of our management and key personnel from our business operations. The occurrence of infringement claims may grow as the market for our products grows.</w:t>
      </w:r>
    </w:p>
    <w:p>
      <w:pPr>
        <w:spacing w:after="0" w:line="32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business could be adversely impacted by changes in laws and regulations related to the Internet or changes in access to the Internet generally.</w:t>
      </w:r>
    </w:p>
    <w:p>
      <w:pPr>
        <w:spacing w:after="0" w:line="4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82"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1E1E1E"/>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8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1E1E1E"/>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220"/>
          </w:cols>
          <w:pgMar w:left="820" w:top="808" w:right="84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1E1E1E"/>
        </w:rPr>
        <w:t>Risks Related to Certain Tax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Unanticipated changes in our effective tax rate and additional tax liabilities may impact our financial results.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are subject to taxes in the U.S. and certain foreign jurisdictions. Due to economic and political conditions, tax rates in various jurisdictions, including the U.S., may be subject to change.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For example, beginning in 2022, the Tax Cuts and Jobs Act of 2017 eliminated the option of expensing all research and development expenditures in the current year, instead requiring amortization over five years for expenditures in the U.S. and over fifteen years for foreign-based expenditures, pursuant to Section 174 of the Internal Revenue Code. In the future, Congress may consider legislation that would eliminate the capitalization and amortization requirement. There is no assurance that the requirement will be deferred, repealed, or otherwise modified.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8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32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Changes in tax laws or regulations in the various tax jurisdictions we are subject to that are applied adversely to us or our paying customers could increase the costs of our platform and harm our business.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8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80"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For example, during the quarter ended June 30, 2023, we determined that sales in certain states were subject to sales tax and that we had not assessed such sales tax on sales of our services to customers. As a result, we entered into voluntary disclosure agreements with the applicable jurisdictions and will continue to accrue interest on any outstanding liabilities until the voluntary disclosure agreements are settled.</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220"/>
          </w:cols>
          <w:pgMar w:left="820" w:top="803" w:right="840" w:bottom="0" w:gutter="0" w:footer="0" w:header="0"/>
          <w:type w:val="continuous"/>
        </w:sectPr>
      </w:pPr>
    </w:p>
    <w:bookmarkStart w:id="38" w:name="page39"/>
    <w:bookmarkEnd w:id="38"/>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results of operations may be harmed if we are required to collect sales or other related taxes for subscriptions to our platform in jurisdictions where we have not historically done so.</w:t>
      </w:r>
    </w:p>
    <w:p>
      <w:pPr>
        <w:spacing w:after="0" w:line="46"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1E1E1E"/>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For example, during the quarter ended June 30, 2023, we determined that sales in certain states were subject to sales tax and that we had not assessed such sales tax on sales of our services to customers. As a result, we entered into voluntary disclosure agreements with the applicable jurisdictions and will continue to accrue interest on any outstanding liabilities until the voluntary disclosure agreements are settled.</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82"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E1E1E"/>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220"/>
          </w:cols>
          <w:pgMar w:left="820" w:top="808" w:right="84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1E1E1E"/>
        </w:rPr>
        <w:t>Risks Related to Accounting and Financial Reporting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Deferred revenue and change in deferred revenue may not be accurate indicators of our future financial results.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330"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Because we recognize subscription revenue over the subscription term, downturns or upturns in new sales and renewals are not immediately reflected in full in our results of operations.</w:t>
      </w:r>
    </w:p>
    <w:p>
      <w:pPr>
        <w:spacing w:after="0" w:line="4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80" w:lineRule="exact"/>
        <w:rPr>
          <w:sz w:val="20"/>
          <w:szCs w:val="20"/>
          <w:color w:val="auto"/>
        </w:rPr>
      </w:pPr>
    </w:p>
    <w:p>
      <w:pPr>
        <w:jc w:val="both"/>
        <w:ind w:right="100" w:firstLine="490"/>
        <w:spacing w:after="0" w:line="249" w:lineRule="auto"/>
        <w:rPr>
          <w:sz w:val="20"/>
          <w:szCs w:val="20"/>
          <w:color w:val="auto"/>
        </w:rPr>
      </w:pPr>
      <w:r>
        <w:rPr>
          <w:rFonts w:ascii="Times New Roman" w:cs="Times New Roman" w:eastAsia="Times New Roman" w:hAnsi="Times New Roman"/>
          <w:sz w:val="20"/>
          <w:szCs w:val="20"/>
          <w:color w:val="1E1E1E"/>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have broad discretion in the use of our cash and short-term investment balances and may not use them effectively.</w:t>
      </w:r>
    </w:p>
    <w:p>
      <w:pPr>
        <w:spacing w:after="0" w:line="11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31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have a significant amount of goodwill and intangible assets on our balance sheet, and our results of operations may be adversely affected if we fail to realize the full value of our goodwill and intangible assets.</w:t>
      </w:r>
    </w:p>
    <w:p>
      <w:pPr>
        <w:spacing w:after="0" w:line="4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We have a significant amount of goodwill and intangible assets on our balance sheet, and our results of operations may be adversely affected if we fail to realize the full value of our goodwill and intangible assets. Our balance sheet reflects goodwill of $1.1 billion and $1.3 billion as of December 31, 2023 and 2022, respectively, and intangible assets, net of $323.1 million and $350.7 million as of December 31, 2023 and 2022, respectively. In accordance with accounting principles generally accepted in the United States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04" w:lineRule="exact"/>
        <w:rPr>
          <w:sz w:val="20"/>
          <w:szCs w:val="20"/>
          <w:color w:val="auto"/>
        </w:rPr>
      </w:pPr>
    </w:p>
    <w:p>
      <w:pPr>
        <w:ind w:left="1100" w:hanging="488"/>
        <w:spacing w:after="0"/>
        <w:tabs>
          <w:tab w:leader="none" w:pos="1100" w:val="left"/>
        </w:tabs>
        <w:numPr>
          <w:ilvl w:val="0"/>
          <w:numId w:val="16"/>
        </w:numPr>
        <w:rPr>
          <w:rFonts w:ascii="Arial" w:cs="Arial" w:eastAsia="Arial" w:hAnsi="Arial"/>
          <w:sz w:val="20"/>
          <w:szCs w:val="20"/>
          <w:color w:val="1E1E1E"/>
        </w:rPr>
      </w:pPr>
      <w:r>
        <w:rPr>
          <w:rFonts w:ascii="Times New Roman" w:cs="Times New Roman" w:eastAsia="Times New Roman" w:hAnsi="Times New Roman"/>
          <w:sz w:val="20"/>
          <w:szCs w:val="20"/>
          <w:color w:val="1E1E1E"/>
        </w:rPr>
        <w:t>underperformance relative to historical or projected future operating results;</w:t>
      </w:r>
    </w:p>
    <w:p>
      <w:pPr>
        <w:sectPr>
          <w:pgSz w:w="11880" w:h="15480" w:orient="portrait"/>
          <w:cols w:equalWidth="0" w:num="1">
            <w:col w:w="10200"/>
          </w:cols>
          <w:pgMar w:left="820" w:top="803" w:right="860" w:bottom="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200"/>
          </w:cols>
          <w:pgMar w:left="820" w:top="803" w:right="860" w:bottom="0" w:gutter="0" w:footer="0" w:header="0"/>
          <w:type w:val="continuous"/>
        </w:sectPr>
      </w:pPr>
    </w:p>
    <w:bookmarkStart w:id="40" w:name="page41"/>
    <w:bookmarkEnd w:id="40"/>
    <w:p>
      <w:pPr>
        <w:ind w:left="1100" w:hanging="488"/>
        <w:spacing w:after="0"/>
        <w:tabs>
          <w:tab w:leader="none" w:pos="110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the manner of our use of acquired assets or the strategy for our overall business;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negative industry or economic trends; or</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17"/>
        </w:numPr>
        <w:rPr>
          <w:rFonts w:ascii="Arial" w:cs="Arial" w:eastAsia="Arial" w:hAnsi="Arial"/>
          <w:sz w:val="20"/>
          <w:szCs w:val="20"/>
          <w:color w:val="1E1E1E"/>
        </w:rPr>
      </w:pPr>
      <w:r>
        <w:rPr>
          <w:rFonts w:ascii="Times New Roman" w:cs="Times New Roman" w:eastAsia="Times New Roman" w:hAnsi="Times New Roman"/>
          <w:sz w:val="20"/>
          <w:szCs w:val="20"/>
          <w:color w:val="1E1E1E"/>
        </w:rPr>
        <w:t>decline in our market capitalization relative to net book value for a sustained period.</w:t>
      </w:r>
    </w:p>
    <w:p>
      <w:pPr>
        <w:spacing w:after="0" w:line="119" w:lineRule="exact"/>
        <w:rPr>
          <w:sz w:val="20"/>
          <w:szCs w:val="20"/>
          <w:color w:val="auto"/>
        </w:rPr>
      </w:pPr>
    </w:p>
    <w:p>
      <w:pPr>
        <w:jc w:val="both"/>
        <w:ind w:right="500" w:firstLine="490"/>
        <w:spacing w:after="0" w:line="253" w:lineRule="auto"/>
        <w:rPr>
          <w:sz w:val="20"/>
          <w:szCs w:val="20"/>
          <w:color w:val="auto"/>
        </w:rPr>
      </w:pPr>
      <w:r>
        <w:rPr>
          <w:rFonts w:ascii="Times New Roman" w:cs="Times New Roman" w:eastAsia="Times New Roman" w:hAnsi="Times New Roman"/>
          <w:sz w:val="20"/>
          <w:szCs w:val="20"/>
          <w:color w:val="1E1E1E"/>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7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 xml:space="preserve">During the quarter ended September 30, 2023, we experienced a sustained decline in our stock price and market capitalization, which resulted in a goodwill impairment charge of $287.4 million recorded as of September 30, 2023. Refer to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 xml:space="preserve"> for further information. Our reporting unit is at risk of future goodwill impairments if we again experience a continued decline in our market capitalization or if macroeconomic conditions worsen, which could represent potential indicators of impairment requiring further impairment analysis in 2024. We continue to monitor for potential impairment should impairment indicators arise. If actual results in our single reporting unit are substantially lower than the projections used in our valuation methodology, or if market discount rates substantially increase or our market capitalization substantially decreases, then our future valuations could be adversely affected. We could be required to record a significant charge to earnings in our financial statements during the period in which any impairment of our goodwill or intangible assets is determined, negatively impacting our results of operations.</w:t>
      </w:r>
    </w:p>
    <w:p>
      <w:pPr>
        <w:spacing w:after="0" w:line="32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b w:val="1"/>
          <w:bCs w:val="1"/>
          <w:i w:val="1"/>
          <w:iCs w:val="1"/>
          <w:color w:val="1E1E1E"/>
        </w:rPr>
        <w:t>We have identified a material weakness in our internal control over financial reporting, and our management has concluded that our disclosure controls and procedures were not effective as of the end of the period covered by this report. While we are working to remediate the identified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spacing w:after="0" w:line="198" w:lineRule="exact"/>
        <w:rPr>
          <w:sz w:val="20"/>
          <w:szCs w:val="20"/>
          <w:color w:val="auto"/>
        </w:rPr>
      </w:pPr>
    </w:p>
    <w:p>
      <w:pPr>
        <w:ind w:right="600" w:firstLine="490"/>
        <w:spacing w:after="0" w:line="279" w:lineRule="auto"/>
        <w:rPr>
          <w:sz w:val="20"/>
          <w:szCs w:val="20"/>
          <w:color w:val="auto"/>
        </w:rPr>
      </w:pPr>
      <w:r>
        <w:rPr>
          <w:rFonts w:ascii="Times New Roman" w:cs="Times New Roman" w:eastAsia="Times New Roman" w:hAnsi="Times New Roman"/>
          <w:sz w:val="20"/>
          <w:szCs w:val="20"/>
          <w:color w:val="1E1E1E"/>
        </w:rPr>
        <w:t>The Sarbanes-Oxley Act of 2002 requires, among other things, that we maintain effective disclosure controls and procedures and internal control over financial reporting.</w:t>
      </w:r>
    </w:p>
    <w:p>
      <w:pPr>
        <w:spacing w:after="0" w:line="4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As disclosed within this Annual Report on Form 10-K, management identified a material weakness in internal control related the collection and remittance of sales tax and concluded that our internal control over financial reporting was not effective as of December 31, 2023, as described in more detail in Part II — Item 9A, “Controls and Procedures.” Management is actively engaged in remediation efforts to address our material weakness. However, we may not be successful in promptly remediating the material weakness identified by management or be able to identify and remediate additional control deficiencies, including material weaknesses, in the future. The material weakness in the Company’s internal control over financial reporting will not be considered remediated until the controls operate for a sufficient period of time and management has concluded, through testing that these controls operate effectively. If we do not successfully remediate the material weakness, or if other material weaknesses or other deficiencies arise in the future, we may be unable to accurately report our financial results, which could cause our financial results to be materially misstated and require restatement.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ectPr>
          <w:pgSz w:w="11880" w:h="15480" w:orient="portrait"/>
          <w:cols w:equalWidth="0" w:num="1">
            <w:col w:w="10160"/>
          </w:cols>
          <w:pgMar w:left="820" w:top="82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160"/>
          </w:cols>
          <w:pgMar w:left="820" w:top="821" w:right="90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1E1E1E"/>
        </w:rPr>
        <w:t>Risks Related to Our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be able to secure sufficient additional financing on favorable terms, or at all, to meet our future capital needs.</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Any default under our debt agreements could have significant consequences.</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E1E1E"/>
        </w:rPr>
        <w:t>The 2021 Credit Agreement (as defined below) contains covenants imposing certain restrictions on our business. These restrictions may affect our ability to operate our business and may limit our ability to take advantage of potential business opportunities as they arise. The 2021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2021 Credit Agreement also requires us to, commencing on the last day of the fiscal quarter ended December 31, 2021, maintain a maximum total leverage ratio.</w:t>
      </w:r>
    </w:p>
    <w:p>
      <w:pPr>
        <w:spacing w:after="0" w:line="8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Our ability to comply with these covenants under the 2021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2021 Credit Agreement are secured by liens on substantially all of our assets, subject to agreed-upon exceptions. Any default by us under the 2021 Credit Agreement could have a material adverse effect on our business, financial condition and results of operations.</w:t>
      </w:r>
    </w:p>
    <w:p>
      <w:pPr>
        <w:spacing w:after="0" w:line="321" w:lineRule="exact"/>
        <w:rPr>
          <w:sz w:val="20"/>
          <w:szCs w:val="20"/>
          <w:color w:val="auto"/>
        </w:rPr>
      </w:pPr>
    </w:p>
    <w:p>
      <w:pPr>
        <w:ind w:right="9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level of indebtedness could have a material adverse effect on our business, financial condition and results of operations.</w:t>
      </w:r>
    </w:p>
    <w:p>
      <w:pPr>
        <w:spacing w:after="0" w:line="46" w:lineRule="exact"/>
        <w:rPr>
          <w:sz w:val="20"/>
          <w:szCs w:val="20"/>
          <w:color w:val="auto"/>
        </w:rPr>
      </w:pPr>
    </w:p>
    <w:p>
      <w:pPr>
        <w:ind w:right="640" w:firstLine="490"/>
        <w:spacing w:after="0" w:line="279" w:lineRule="auto"/>
        <w:rPr>
          <w:sz w:val="20"/>
          <w:szCs w:val="20"/>
          <w:color w:val="auto"/>
        </w:rPr>
      </w:pPr>
      <w:r>
        <w:rPr>
          <w:rFonts w:ascii="Times New Roman" w:cs="Times New Roman" w:eastAsia="Times New Roman" w:hAnsi="Times New Roman"/>
          <w:sz w:val="20"/>
          <w:szCs w:val="20"/>
          <w:color w:val="1E1E1E"/>
        </w:rPr>
        <w:t>The total principal amount of debt outstanding, excluding unamortized debt issuance costs, under the 2021 Credit Agreement as of December 31, 2023 was $257.8 million.</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Our indebtedness could have significant effects on our business, such as:</w:t>
      </w:r>
    </w:p>
    <w:p>
      <w:pPr>
        <w:spacing w:after="0" w:line="134" w:lineRule="exact"/>
        <w:rPr>
          <w:sz w:val="20"/>
          <w:szCs w:val="20"/>
          <w:color w:val="auto"/>
        </w:rPr>
      </w:pPr>
    </w:p>
    <w:p>
      <w:pPr>
        <w:ind w:left="1100" w:hanging="488"/>
        <w:spacing w:after="0" w:line="278" w:lineRule="auto"/>
        <w:tabs>
          <w:tab w:leader="none" w:pos="110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limiting our ability to borrow additional amounts to fund acquisitions, debt service requirements, execution of our growth strategy, capital expenditures and other purposes;</w:t>
      </w:r>
    </w:p>
    <w:p>
      <w:pPr>
        <w:spacing w:after="0" w:line="60" w:lineRule="exact"/>
        <w:rPr>
          <w:rFonts w:ascii="Arial" w:cs="Arial" w:eastAsia="Arial" w:hAnsi="Arial"/>
          <w:sz w:val="20"/>
          <w:szCs w:val="20"/>
          <w:color w:val="1E1E1E"/>
        </w:rPr>
      </w:pPr>
    </w:p>
    <w:p>
      <w:pPr>
        <w:ind w:left="1100" w:right="560" w:hanging="488"/>
        <w:spacing w:after="0" w:line="278" w:lineRule="auto"/>
        <w:tabs>
          <w:tab w:leader="none" w:pos="110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limiting our ability to make investments, including acquisitions, loans and advances, and to sell, transfer or otherwise dispose of assets;</w:t>
      </w:r>
    </w:p>
    <w:p>
      <w:pPr>
        <w:spacing w:after="0" w:line="60" w:lineRule="exact"/>
        <w:rPr>
          <w:rFonts w:ascii="Arial" w:cs="Arial" w:eastAsia="Arial" w:hAnsi="Arial"/>
          <w:sz w:val="20"/>
          <w:szCs w:val="20"/>
          <w:color w:val="1E1E1E"/>
        </w:rPr>
      </w:pPr>
    </w:p>
    <w:p>
      <w:pPr>
        <w:ind w:left="1100" w:right="40" w:hanging="488"/>
        <w:spacing w:after="0" w:line="259" w:lineRule="auto"/>
        <w:tabs>
          <w:tab w:leader="none" w:pos="110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78" w:lineRule="exact"/>
        <w:rPr>
          <w:rFonts w:ascii="Arial" w:cs="Arial" w:eastAsia="Arial" w:hAnsi="Arial"/>
          <w:sz w:val="20"/>
          <w:szCs w:val="20"/>
          <w:color w:val="1E1E1E"/>
        </w:rPr>
      </w:pPr>
    </w:p>
    <w:p>
      <w:pPr>
        <w:ind w:left="1100" w:right="320" w:hanging="488"/>
        <w:spacing w:after="0" w:line="306" w:lineRule="auto"/>
        <w:tabs>
          <w:tab w:leader="none" w:pos="110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making us more vulnerable to adverse changes in general economic, industry and competitive conditions, in government regulation and in our business by limiting our ability to plan for and react to changing conditions;</w:t>
      </w:r>
    </w:p>
    <w:p>
      <w:pPr>
        <w:spacing w:after="0" w:line="36" w:lineRule="exact"/>
        <w:rPr>
          <w:rFonts w:ascii="Arial" w:cs="Arial" w:eastAsia="Arial" w:hAnsi="Arial"/>
          <w:sz w:val="19"/>
          <w:szCs w:val="19"/>
          <w:color w:val="1E1E1E"/>
        </w:rPr>
      </w:pPr>
    </w:p>
    <w:p>
      <w:pPr>
        <w:ind w:left="1100" w:hanging="488"/>
        <w:spacing w:after="0"/>
        <w:tabs>
          <w:tab w:leader="none" w:pos="110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placing us at a competitive disadvantage compared with our competitors that have less debt; and</w:t>
      </w:r>
    </w:p>
    <w:p>
      <w:pPr>
        <w:spacing w:after="0" w:line="133" w:lineRule="exact"/>
        <w:rPr>
          <w:rFonts w:ascii="Arial" w:cs="Arial" w:eastAsia="Arial" w:hAnsi="Arial"/>
          <w:sz w:val="20"/>
          <w:szCs w:val="20"/>
          <w:color w:val="1E1E1E"/>
        </w:rPr>
      </w:pPr>
    </w:p>
    <w:p>
      <w:pPr>
        <w:ind w:left="1100" w:right="160" w:hanging="488"/>
        <w:spacing w:after="0" w:line="278" w:lineRule="auto"/>
        <w:tabs>
          <w:tab w:leader="none" w:pos="1100" w:val="left"/>
        </w:tabs>
        <w:numPr>
          <w:ilvl w:val="0"/>
          <w:numId w:val="18"/>
        </w:numPr>
        <w:rPr>
          <w:rFonts w:ascii="Arial" w:cs="Arial" w:eastAsia="Arial" w:hAnsi="Arial"/>
          <w:sz w:val="20"/>
          <w:szCs w:val="20"/>
          <w:color w:val="1E1E1E"/>
        </w:rPr>
      </w:pPr>
      <w:r>
        <w:rPr>
          <w:rFonts w:ascii="Times New Roman" w:cs="Times New Roman" w:eastAsia="Times New Roman" w:hAnsi="Times New Roman"/>
          <w:sz w:val="20"/>
          <w:szCs w:val="20"/>
          <w:color w:val="1E1E1E"/>
        </w:rPr>
        <w:t>exposing us to risks inherent in interest rate fluctuations because our borrowings are at variable rates of interest, which could result in higher interest expense in the event of increases in interest rates.</w:t>
      </w:r>
    </w:p>
    <w:p>
      <w:pPr>
        <w:spacing w:after="0" w:line="166"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220"/>
          </w:cols>
          <w:pgMar w:left="820" w:top="803" w:right="840" w:bottom="0" w:gutter="0" w:footer="0" w:header="0"/>
          <w:type w:val="continuous"/>
        </w:sectPr>
      </w:pPr>
    </w:p>
    <w:bookmarkStart w:id="42" w:name="page43"/>
    <w:bookmarkEnd w:id="42"/>
    <w:p>
      <w:pPr>
        <w:ind w:firstLine="490"/>
        <w:spacing w:after="0" w:line="247" w:lineRule="auto"/>
        <w:rPr>
          <w:sz w:val="20"/>
          <w:szCs w:val="20"/>
          <w:color w:val="auto"/>
        </w:rPr>
      </w:pPr>
      <w:r>
        <w:rPr>
          <w:rFonts w:ascii="Times New Roman" w:cs="Times New Roman" w:eastAsia="Times New Roman" w:hAnsi="Times New Roman"/>
          <w:sz w:val="20"/>
          <w:szCs w:val="20"/>
          <w:color w:val="1E1E1E"/>
        </w:rPr>
        <w:t>Pursuant to our 2021 Credit Agreement, we are required to maintain, commencing on the last day of the fiscal quarter ending December 31, 2021, on a consolidated basis, a maximum ratio of consolidated net debt to consolidated EBITDA (with certain adjustments as set forth in the 2021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32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The failure to comply with the covenants under our 2021 Credit Agreement or volatility in the credit and capital markets could have a material adverse effect on our business, financial condition, liquidity and results of operation.</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Our ability to manage our debt is dependent on our level of positive cash flow from the sale of our platform. An economic downturn may negatively impact our cash flows. Credit and capital markets can be volatile, and have recently experienced such volatility in light of global economic factors,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2021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220"/>
          </w:cols>
          <w:pgMar w:left="820" w:top="806" w:right="8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1E1E1E"/>
        </w:rPr>
        <w:t>Risks Related to Our Organizational Structure</w:t>
      </w:r>
    </w:p>
    <w:p>
      <w:pPr>
        <w:spacing w:after="0" w:line="12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are a holding company, and our principal asset is our 74.9% ownership interest in Definitive OpCo, and we are accordingly dependent upon distributions from Definitive OpCo to pay dividends, if any, and taxes, make payments under the Tax Receivable Agreement and pay other expenses.</w:t>
      </w:r>
    </w:p>
    <w:p>
      <w:pPr>
        <w:spacing w:after="0" w:line="64"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1E1E1E"/>
        </w:rPr>
        <w:t>We are a holding company and our principal asset is our ownership of 74.9% of the outstanding LLC Units (as of December 31, 2023), exclusive of unvested LLC Units. We have no independent means of generating revenue. We anticipate that Definitive OpCo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among its members,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intend to cause Definitive OpCo to make distributions to the holders of LLC Units in amounts sufficient to (i) cover all of the income taxes payable by holders of LLC Units (including us) on such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under applicable law or regulation, as a result of covenants in its debt agreements or otherwise, we may not be able to obtain such funds on terms acceptable to us, or at all, which could have a material adverse effect on our liquidity and financial condition. In addition, for taxable years beginning after December 31, 2017, liability for adjustments to a partnership’s tax return can be imposed on the partnership itself in certain circumstances, absent an election to the contrary. Definitive OpCo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32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In certain circumstances, Definitive OpCo will be required to make distributions to us and the other holders of LLC Units, and the distributions that Definitive OpCo will be required to make may be substantial.</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w:t>
      </w:r>
    </w:p>
    <w:p>
      <w:pPr>
        <w:spacing w:after="0" w:line="32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Our organizational structure, including the Tax Receivable Agreement, confers certain benefits upon the TRA Parties that will not benefit holders of our Class A Common Stock to the same extent that it will benefit the TRA Parties. The Tax Receivable Agreement with the TRA Parties requires Definitive Healthcare Corp. to make cash payments to TRA Parties in respect of certain tax benefits to which it may become entitled, and we expect that such payments will be substantial.</w:t>
      </w:r>
    </w:p>
    <w:p>
      <w:pPr>
        <w:spacing w:after="0" w:line="72"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Our organizational structure, including the Tax Receivable Agreement, confers certain benefits upon the TRA Parties that will not benefit the holders of Class A Common Stock to the same extent that it will benefit the TRA Parties. Although Definitive Healthcare Corp. holds 15% of the amount of such tax benefits, this and other aspects of our organizational structure may adversely impact the future trading market for our Class A Common Stock. Under the Tax Receivable Agreement, we are</w:t>
      </w:r>
    </w:p>
    <w:p>
      <w:pPr>
        <w:sectPr>
          <w:pgSz w:w="11880" w:h="15480" w:orient="portrait"/>
          <w:cols w:equalWidth="0" w:num="1">
            <w:col w:w="10220"/>
          </w:cols>
          <w:pgMar w:left="820" w:top="803" w:right="840" w:bottom="0"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220"/>
          </w:cols>
          <w:pgMar w:left="820" w:top="803" w:right="840" w:bottom="0" w:gutter="0" w:footer="0" w:header="0"/>
          <w:type w:val="continuous"/>
        </w:sectPr>
      </w:pPr>
    </w:p>
    <w:bookmarkStart w:id="44" w:name="page45"/>
    <w:bookmarkEnd w:id="44"/>
    <w:p>
      <w:pPr>
        <w:ind w:right="20"/>
        <w:spacing w:after="0" w:line="243" w:lineRule="auto"/>
        <w:rPr>
          <w:sz w:val="20"/>
          <w:szCs w:val="20"/>
          <w:color w:val="auto"/>
        </w:rPr>
      </w:pPr>
      <w:r>
        <w:rPr>
          <w:rFonts w:ascii="Times New Roman" w:cs="Times New Roman" w:eastAsia="Times New Roman" w:hAnsi="Times New Roman"/>
          <w:sz w:val="20"/>
          <w:szCs w:val="20"/>
          <w:color w:val="1E1E1E"/>
        </w:rPr>
        <w:t>required to make cash payments to the TRA Parties equal to 85% of the tax benefits, if any, that Definitive Healthcare Corp. actually realizes, or in certain circumstances are deemed to realize, as a result of (i) certain tax attributes that Definitive Healthcare Corp. acquired from the Blocker Companies, (ii) certain tax basis adjustments resulting from (a) acquisitions by Definitive Healthcare Corp. of LLC Units from existing holders and (b) future redemptions or exchanges of LLC Units by holders of LLC Units for Class A Common Stock or other consideration and (iii) certain payments made under the Tax Receivable Agreement. The payment obligations under the Tax Receivable Agreement are obligations of Definitive Healthcare Corp. and we expect that the amount of the cash payments that we are required to make under the Tax Receivable Agreement will be significant. Any payments made by Definitive Healthcare Corp.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Definitive Healthcare Corp.’s future obligation to make payments under the Tax Receivable Agreement could make us a less attractive target for an acquisition, particularly in the case of an acquirer that cannot use some or all of the tax benefits that are the subject of the Tax Receivable Agreement.</w:t>
      </w:r>
    </w:p>
    <w:p>
      <w:pPr>
        <w:spacing w:after="0" w:line="324"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In certain cases, payments under the Tax Receivable Agreement to the TRA Parties may be accelerated or significantly exceed any actual benefits we realize in respect of the tax attributes subject to the Tax Receivable Agreement.</w:t>
      </w:r>
    </w:p>
    <w:p>
      <w:pPr>
        <w:spacing w:after="0" w:line="46"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E1E1E"/>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or a replacement rate) of all future payments that TRA Parties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8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3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6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32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will not be reimbursed for any payments made to the TRA Parties under the Tax Receivable Agreement in the event that any tax benefits are disallowed.</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Payments under the Tax Receivable Agreement will be based on the tax reporting positions that we determine, and the U.S. Internal Revenue Service, or the IRS, or another taxing authority may challenge all or part of the tax basis increases or other tax benefits that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w:t>
      </w:r>
    </w:p>
    <w:p>
      <w:pPr>
        <w:sectPr>
          <w:pgSz w:w="11880" w:h="15480" w:orient="portrait"/>
          <w:cols w:equalWidth="0" w:num="1">
            <w:col w:w="10220"/>
          </w:cols>
          <w:pgMar w:left="820" w:top="806" w:right="840" w:bottom="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220"/>
          </w:cols>
          <w:pgMar w:left="820" w:top="806" w:right="840" w:bottom="0" w:gutter="0" w:footer="0" w:header="0"/>
          <w:type w:val="continuous"/>
        </w:sectPr>
      </w:pPr>
    </w:p>
    <w:bookmarkStart w:id="45" w:name="page46"/>
    <w:bookmarkEnd w:id="45"/>
    <w:p>
      <w:pPr>
        <w:spacing w:after="0" w:line="245" w:lineRule="auto"/>
        <w:rPr>
          <w:sz w:val="20"/>
          <w:szCs w:val="20"/>
          <w:color w:val="auto"/>
        </w:rPr>
      </w:pPr>
      <w:r>
        <w:rPr>
          <w:rFonts w:ascii="Times New Roman" w:cs="Times New Roman" w:eastAsia="Times New Roman" w:hAnsi="Times New Roman"/>
          <w:sz w:val="20"/>
          <w:szCs w:val="20"/>
          <w:color w:val="1E1E1E"/>
        </w:rPr>
        <w:t>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32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6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8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As the sole managing member of Definitive OpCo, we control and operate Definitive OpCo. On that basis, we believe that our interest in Definitive OpCo is not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7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220"/>
          </w:cols>
          <w:pgMar w:left="820" w:top="806" w:right="8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1E1E1E"/>
        </w:rPr>
        <w:t>Risks Related to Ownership of Our Class A Common Stock</w:t>
      </w:r>
    </w:p>
    <w:p>
      <w:pPr>
        <w:spacing w:after="0" w:line="125"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Future offerings of debt or equity securities by us may have a material adverse effect on the market price of our Class A Common Stock.</w:t>
      </w:r>
    </w:p>
    <w:p>
      <w:pPr>
        <w:spacing w:after="0" w:line="4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E1E1E"/>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333"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Certain of our directors and stockholders will not have any obligation to present business opportunities to us and may compete with us.</w:t>
      </w:r>
    </w:p>
    <w:p>
      <w:pPr>
        <w:spacing w:after="0" w:line="46"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E1E1E"/>
        </w:rPr>
        <w:t>Our amended and restated certificate of incorporation provides that our directors and stockholders affiliated with Advent and Spectrum Equity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7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As a result, our directors and stockholders affiliated with Advent and Spectrum Equity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3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6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318"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The market price and trading volume of our Class A Common Stock may be volatile, which could result in rapid and substantial losses for our stockholders, and you may lose all or part of your investment.</w:t>
      </w:r>
    </w:p>
    <w:p>
      <w:pPr>
        <w:spacing w:after="0" w:line="4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Shares of our Class A Common Stock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1" w:lineRule="exact"/>
        <w:rPr>
          <w:sz w:val="20"/>
          <w:szCs w:val="20"/>
          <w:color w:val="auto"/>
        </w:rPr>
      </w:pPr>
    </w:p>
    <w:p>
      <w:pPr>
        <w:ind w:left="1100" w:hanging="488"/>
        <w:spacing w:after="0"/>
        <w:tabs>
          <w:tab w:leader="none" w:pos="110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variations in our quarterly or annual results of operations;</w:t>
      </w:r>
    </w:p>
    <w:p>
      <w:pPr>
        <w:spacing w:after="0" w:line="133" w:lineRule="exact"/>
        <w:rPr>
          <w:rFonts w:ascii="Arial" w:cs="Arial" w:eastAsia="Arial" w:hAnsi="Arial"/>
          <w:sz w:val="20"/>
          <w:szCs w:val="20"/>
          <w:color w:val="1E1E1E"/>
        </w:rPr>
      </w:pPr>
    </w:p>
    <w:p>
      <w:pPr>
        <w:ind w:left="1100" w:right="160" w:hanging="488"/>
        <w:spacing w:after="0" w:line="278" w:lineRule="auto"/>
        <w:tabs>
          <w:tab w:leader="none" w:pos="110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our earnings estimates (if provided) or differences between our actual results of operations and those expected by investors and analysts;</w:t>
      </w:r>
    </w:p>
    <w:p>
      <w:pPr>
        <w:spacing w:after="0" w:line="60" w:lineRule="exact"/>
        <w:rPr>
          <w:rFonts w:ascii="Arial" w:cs="Arial" w:eastAsia="Arial" w:hAnsi="Arial"/>
          <w:sz w:val="20"/>
          <w:szCs w:val="20"/>
          <w:color w:val="1E1E1E"/>
        </w:rPr>
      </w:pPr>
    </w:p>
    <w:p>
      <w:pPr>
        <w:ind w:left="1100" w:right="20" w:hanging="488"/>
        <w:spacing w:after="0" w:line="278" w:lineRule="auto"/>
        <w:tabs>
          <w:tab w:leader="none" w:pos="1100" w:val="left"/>
        </w:tabs>
        <w:numPr>
          <w:ilvl w:val="0"/>
          <w:numId w:val="19"/>
        </w:numPr>
        <w:rPr>
          <w:rFonts w:ascii="Arial" w:cs="Arial" w:eastAsia="Arial" w:hAnsi="Arial"/>
          <w:sz w:val="20"/>
          <w:szCs w:val="20"/>
          <w:color w:val="1E1E1E"/>
        </w:rPr>
      </w:pPr>
      <w:r>
        <w:rPr>
          <w:rFonts w:ascii="Times New Roman" w:cs="Times New Roman" w:eastAsia="Times New Roman" w:hAnsi="Times New Roman"/>
          <w:sz w:val="20"/>
          <w:szCs w:val="20"/>
          <w:color w:val="1E1E1E"/>
        </w:rPr>
        <w:t>the contents of published research reports about us or our industry or the failure of securities analysts to cover our Class A Common Stock;</w:t>
      </w:r>
    </w:p>
    <w:p>
      <w:pPr>
        <w:sectPr>
          <w:pgSz w:w="11880" w:h="15480" w:orient="portrait"/>
          <w:cols w:equalWidth="0" w:num="1">
            <w:col w:w="10220"/>
          </w:cols>
          <w:pgMar w:left="820" w:top="803" w:right="840" w:bottom="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220"/>
          </w:cols>
          <w:pgMar w:left="820" w:top="803" w:right="840" w:bottom="0" w:gutter="0" w:footer="0" w:header="0"/>
          <w:type w:val="continuous"/>
        </w:sectPr>
      </w:pPr>
    </w:p>
    <w:bookmarkStart w:id="47" w:name="page48"/>
    <w:bookmarkEnd w:id="47"/>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additions or departures of key management personnel;</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any increased indebtedness we may incur in the future;</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announcements by us or others and developments affecting us;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actions by institutional stockholders;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litigation and governmental investigations;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legislative or regulatory changes;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judicial pronouncements interpreting laws and regulations;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government programs;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changes in market valuations of similar companies;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sales of substantial amounts of our Class A Common Stock in the public markets;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speculation or reports by the press or investment community with respect to us or our industry in general;</w:t>
      </w:r>
    </w:p>
    <w:p>
      <w:pPr>
        <w:spacing w:after="0" w:line="133" w:lineRule="exact"/>
        <w:rPr>
          <w:rFonts w:ascii="Arial" w:cs="Arial" w:eastAsia="Arial" w:hAnsi="Arial"/>
          <w:sz w:val="20"/>
          <w:szCs w:val="20"/>
          <w:color w:val="1E1E1E"/>
        </w:rPr>
      </w:pPr>
    </w:p>
    <w:p>
      <w:pPr>
        <w:ind w:left="1100" w:right="1060" w:hanging="488"/>
        <w:spacing w:after="0" w:line="278" w:lineRule="auto"/>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announcements by us or our competitors of significant contracts, acquisitions, dispositions, strategic relationships, joint ventures or capital commitments; and</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20"/>
        </w:numPr>
        <w:rPr>
          <w:rFonts w:ascii="Arial" w:cs="Arial" w:eastAsia="Arial" w:hAnsi="Arial"/>
          <w:sz w:val="20"/>
          <w:szCs w:val="20"/>
          <w:color w:val="1E1E1E"/>
        </w:rPr>
      </w:pPr>
      <w:r>
        <w:rPr>
          <w:rFonts w:ascii="Times New Roman" w:cs="Times New Roman" w:eastAsia="Times New Roman" w:hAnsi="Times New Roman"/>
          <w:sz w:val="20"/>
          <w:szCs w:val="20"/>
          <w:color w:val="1E1E1E"/>
        </w:rPr>
        <w:t>general market, political and economic conditions, including local conditions in the markets in which we operate.</w:t>
      </w:r>
    </w:p>
    <w:p>
      <w:pPr>
        <w:spacing w:after="0" w:line="11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These broad market and industry factors may decrease the market price of our Class A Common Stock, regardless of our actual financial performance. The stock market in general has from time to time experienced extreme price and volume fluctuations, and the trading prices of technology company securities have been highly volatile,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32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The market price of our Class A Common Stock could be negatively affected by sales of substantial amounts of our Class A Common Stock in the public markets.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As of December 31, 2023, we had a total of 116,562,252 shares of Class A Common Stock outstanding. Of those shares, 62,493,676 shares were held by Advent, our largest stockholder and one of our pre-IPO owners. In addition, as of December 31, 2023, our pre-IPO owners held directly or indirectly a total of 39,762,700 LLC Units that, subject to applicable time-vesting conditions (some of which have already been met), can ultimately be redeemed or exchanged for our Class A Common Stock. In connection with the completion of our IPO, we entered into a Registration Rights Agreement with certain pre-IPO owners, including Advent, Spectrum Equity, 22C Capital and our founder. Any sales in connection with the Registration Rights Agreement or otherwise in compliance with the Securities Act of 1933, as amended (the “Securities Act”), or the prospect of any such sales, could materially and adversely impact the market price of our Class A common stock and could impair our ability to raise capital through future sales of equity securities.</w:t>
      </w:r>
    </w:p>
    <w:p>
      <w:pPr>
        <w:spacing w:after="0" w:line="86" w:lineRule="exact"/>
        <w:rPr>
          <w:sz w:val="20"/>
          <w:szCs w:val="20"/>
          <w:color w:val="auto"/>
        </w:rPr>
      </w:pPr>
    </w:p>
    <w:p>
      <w:pPr>
        <w:ind w:right="20" w:firstLine="540"/>
        <w:spacing w:after="0" w:line="245" w:lineRule="auto"/>
        <w:rPr>
          <w:sz w:val="20"/>
          <w:szCs w:val="20"/>
          <w:color w:val="auto"/>
        </w:rPr>
      </w:pPr>
      <w:r>
        <w:rPr>
          <w:rFonts w:ascii="Times New Roman" w:cs="Times New Roman" w:eastAsia="Times New Roman" w:hAnsi="Times New Roman"/>
          <w:sz w:val="20"/>
          <w:szCs w:val="20"/>
          <w:color w:val="1E1E1E"/>
        </w:rPr>
        <w:t>In addition, as of December 31, 2023, up to 6,828,490 shares of our Class A common stock may be issued upon vesting and settlement of outstanding RSUs, and 7,284,174, 887,819, and 2,549,556 shares of our Class A common stock are available for future issuance under our 2021 Equity Incentive Plan, our 2023 Inducement Plan, and our 2021 Employee Stock Purchase Plan, respectively, and will become eligible for sale in the public market to the extent permitted by the provisions of various vesting schedules, exercise limitations and the securities laws. We have registered all of the shares of Class A Common Stock issuable upon vesting and settlement of restricted stock units, as well as other equity incentive awards we may grant in the future for public resale under the Securities Act. Shares of Class A Common Stock will become eligible for sale in the public market to the extent such restricted stock units settle, subject to compliance with applicable securities laws.</w:t>
      </w:r>
    </w:p>
    <w:p>
      <w:pPr>
        <w:spacing w:after="0" w:line="82"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w:t>
      </w:r>
    </w:p>
    <w:p>
      <w:pPr>
        <w:sectPr>
          <w:pgSz w:w="11880" w:h="15480" w:orient="portrait"/>
          <w:cols w:equalWidth="0" w:num="1">
            <w:col w:w="10180"/>
          </w:cols>
          <w:pgMar w:left="820" w:top="82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180"/>
          </w:cols>
          <w:pgMar w:left="820" w:top="821" w:right="880" w:bottom="0" w:gutter="0" w:footer="0" w:header="0"/>
          <w:type w:val="continuous"/>
        </w:sectPr>
      </w:pPr>
    </w:p>
    <w:bookmarkStart w:id="48" w:name="page49"/>
    <w:bookmarkEnd w:id="48"/>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The future issuance of additional Class A Common Stock in connection with any equity plans, acquisitions or otherwise will dilute all other stockholdings.</w:t>
      </w:r>
    </w:p>
    <w:p>
      <w:pPr>
        <w:spacing w:after="0" w:line="4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As of December 31, 2023 we had an aggregate of 465,887,709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owners of our Class A Common Stock.</w:t>
      </w:r>
    </w:p>
    <w:p>
      <w:pPr>
        <w:spacing w:after="0" w:line="31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As a public company, we incur significant costs to comply with the laws and regulations affecting public companies, which could harm our business and results of operations.</w:t>
      </w:r>
    </w:p>
    <w:p>
      <w:pPr>
        <w:spacing w:after="0" w:line="4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We have experienced, and expect to continue to experience, costs associated with being a public company, including costs associated with compliance with the auditor attestation requirement of Section 404 of the Sarbanes-Oxley Act, or Section 404, the adoption of certain accounting standard updates, and additional disclosure requirements.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diverting their attention from other business concerns, which could harm our business, financial condition and results of operations.</w:t>
      </w:r>
    </w:p>
    <w:p>
      <w:pPr>
        <w:spacing w:after="0" w:line="8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To comply with the requirements of being a public company, including the Sarbanes-Oxley Act, we continue to undertake various actions, such as further developing and refining internal controls and procedures and hiring accounting or internal audit staff or outsourcing certain functions to third parties, which could have a material adverse effect on our business, financial condition and results of operations.</w:t>
      </w:r>
    </w:p>
    <w:p>
      <w:pPr>
        <w:spacing w:after="0" w:line="312"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Delaware law and our organizational documents, as well as our existing and future debt agreements, may impede or discourage a takeover, which could deprive our investors of the opportunity to receive a premium for their shares.</w:t>
      </w:r>
    </w:p>
    <w:p>
      <w:pPr>
        <w:spacing w:after="0" w:line="4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w:t>
      </w:r>
    </w:p>
    <w:p>
      <w:pPr>
        <w:spacing w:after="0" w:line="91" w:lineRule="exact"/>
        <w:rPr>
          <w:sz w:val="20"/>
          <w:szCs w:val="20"/>
          <w:color w:val="auto"/>
        </w:rPr>
      </w:pPr>
    </w:p>
    <w:p>
      <w:pPr>
        <w:ind w:left="1100" w:hanging="488"/>
        <w:spacing w:after="0"/>
        <w:tabs>
          <w:tab w:leader="none" w:pos="110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provide for a classified Board with staggered three-year terms;</w:t>
      </w:r>
    </w:p>
    <w:p>
      <w:pPr>
        <w:spacing w:after="0" w:line="133" w:lineRule="exact"/>
        <w:rPr>
          <w:rFonts w:ascii="Arial" w:cs="Arial" w:eastAsia="Arial" w:hAnsi="Arial"/>
          <w:sz w:val="20"/>
          <w:szCs w:val="20"/>
          <w:color w:val="1E1E1E"/>
        </w:rPr>
      </w:pPr>
    </w:p>
    <w:p>
      <w:pPr>
        <w:ind w:left="1100" w:right="100" w:hanging="488"/>
        <w:spacing w:after="0" w:line="278" w:lineRule="auto"/>
        <w:tabs>
          <w:tab w:leader="none" w:pos="110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do not permit cumulative voting in the election of directors, which would otherwise allow less than a majority of stockholders to elect director candidates;</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delegate the sole power of a majority of the Board to fix the number of directors;</w:t>
      </w:r>
    </w:p>
    <w:p>
      <w:pPr>
        <w:spacing w:after="0" w:line="133" w:lineRule="exact"/>
        <w:rPr>
          <w:rFonts w:ascii="Arial" w:cs="Arial" w:eastAsia="Arial" w:hAnsi="Arial"/>
          <w:sz w:val="20"/>
          <w:szCs w:val="20"/>
          <w:color w:val="1E1E1E"/>
        </w:rPr>
      </w:pPr>
    </w:p>
    <w:p>
      <w:pPr>
        <w:ind w:left="1100" w:right="360" w:hanging="488"/>
        <w:spacing w:after="0" w:line="278" w:lineRule="auto"/>
        <w:tabs>
          <w:tab w:leader="none" w:pos="110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provide that the Board has the sole power to fill any vacancy on our Board, whether such vacancy occurs as a result of an increase in the number of directors or otherwise;</w:t>
      </w:r>
    </w:p>
    <w:p>
      <w:pPr>
        <w:spacing w:after="0" w:line="60" w:lineRule="exact"/>
        <w:rPr>
          <w:rFonts w:ascii="Arial" w:cs="Arial" w:eastAsia="Arial" w:hAnsi="Arial"/>
          <w:sz w:val="20"/>
          <w:szCs w:val="20"/>
          <w:color w:val="1E1E1E"/>
        </w:rPr>
      </w:pPr>
    </w:p>
    <w:p>
      <w:pPr>
        <w:ind w:left="1100" w:hanging="488"/>
        <w:spacing w:after="0"/>
        <w:tabs>
          <w:tab w:leader="none" w:pos="110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authorize the issuance of preferred stock without any need for action by stockholders;</w:t>
      </w:r>
    </w:p>
    <w:p>
      <w:pPr>
        <w:spacing w:after="0" w:line="133" w:lineRule="exact"/>
        <w:rPr>
          <w:rFonts w:ascii="Arial" w:cs="Arial" w:eastAsia="Arial" w:hAnsi="Arial"/>
          <w:sz w:val="20"/>
          <w:szCs w:val="20"/>
          <w:color w:val="1E1E1E"/>
        </w:rPr>
      </w:pPr>
    </w:p>
    <w:p>
      <w:pPr>
        <w:ind w:left="1100" w:hanging="488"/>
        <w:spacing w:after="0"/>
        <w:tabs>
          <w:tab w:leader="none" w:pos="110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do not permit stockholders to call special meetings of stockholders;</w:t>
      </w:r>
    </w:p>
    <w:p>
      <w:pPr>
        <w:spacing w:after="0" w:line="133" w:lineRule="exact"/>
        <w:rPr>
          <w:rFonts w:ascii="Arial" w:cs="Arial" w:eastAsia="Arial" w:hAnsi="Arial"/>
          <w:sz w:val="20"/>
          <w:szCs w:val="20"/>
          <w:color w:val="1E1E1E"/>
        </w:rPr>
      </w:pPr>
    </w:p>
    <w:p>
      <w:pPr>
        <w:ind w:left="1100" w:right="20" w:hanging="488"/>
        <w:spacing w:after="0" w:line="259" w:lineRule="auto"/>
        <w:tabs>
          <w:tab w:leader="none" w:pos="1100" w:val="left"/>
        </w:tabs>
        <w:numPr>
          <w:ilvl w:val="0"/>
          <w:numId w:val="21"/>
        </w:numPr>
        <w:rPr>
          <w:rFonts w:ascii="Arial" w:cs="Arial" w:eastAsia="Arial" w:hAnsi="Arial"/>
          <w:sz w:val="20"/>
          <w:szCs w:val="20"/>
          <w:color w:val="1E1E1E"/>
        </w:rPr>
      </w:pPr>
      <w:r>
        <w:rPr>
          <w:rFonts w:ascii="Times New Roman" w:cs="Times New Roman" w:eastAsia="Times New Roman" w:hAnsi="Times New Roman"/>
          <w:sz w:val="20"/>
          <w:szCs w:val="20"/>
          <w:color w:val="1E1E1E"/>
        </w:rPr>
        <w:t>prohibit our stockholders from acting by written consent once Advent’s ownership falls below 30%; and establish advance notice requirements for nominations for election to our Board or for proposing matters that can be acted on by stockholders at stockholder meetings.</w:t>
      </w:r>
    </w:p>
    <w:p>
      <w:pPr>
        <w:spacing w:after="0" w:line="184"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1E1E1E"/>
        </w:rPr>
        <w:t>In addition, our 2021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9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w:t>
      </w:r>
    </w:p>
    <w:p>
      <w:pPr>
        <w:sectPr>
          <w:pgSz w:w="11880" w:h="15480" w:orient="portrait"/>
          <w:cols w:equalWidth="0" w:num="1">
            <w:col w:w="10220"/>
          </w:cols>
          <w:pgMar w:left="820" w:top="808" w:right="840" w:bottom="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220"/>
          </w:cols>
          <w:pgMar w:left="820" w:top="808" w:right="840" w:bottom="0" w:gutter="0" w:footer="0" w:header="0"/>
          <w:type w:val="continuous"/>
        </w:sectPr>
      </w:pPr>
    </w:p>
    <w:bookmarkStart w:id="49" w:name="page50"/>
    <w:bookmarkEnd w:id="49"/>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Claims for indemnification by our directors and officers may reduce our available funds to satisfy successful third-party claims against us and may reduce the amount of money available to us.</w:t>
      </w:r>
    </w:p>
    <w:p>
      <w:pPr>
        <w:spacing w:after="0" w:line="4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19"/>
          <w:szCs w:val="19"/>
          <w:color w:val="1E1E1E"/>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30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i w:val="1"/>
          <w:iCs w:val="1"/>
          <w:color w:val="1E1E1E"/>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75"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0220"/>
          </w:cols>
          <w:pgMar w:left="820" w:top="808" w:right="840" w:bottom="0" w:gutter="0" w:footer="0" w:header="0"/>
          <w:type w:val="continuous"/>
        </w:sectPr>
      </w:pPr>
    </w:p>
    <w:bookmarkStart w:id="50" w:name="page51"/>
    <w:bookmarkEnd w:id="50"/>
    <w:p>
      <w:pPr>
        <w:ind w:firstLine="490"/>
        <w:spacing w:after="0" w:line="253" w:lineRule="auto"/>
        <w:rPr>
          <w:sz w:val="20"/>
          <w:szCs w:val="20"/>
          <w:color w:val="auto"/>
        </w:rPr>
      </w:pPr>
      <w:r>
        <w:rPr>
          <w:rFonts w:ascii="Times New Roman" w:cs="Times New Roman" w:eastAsia="Times New Roman" w:hAnsi="Times New Roman"/>
          <w:sz w:val="20"/>
          <w:szCs w:val="20"/>
          <w:color w:val="1E1E1E"/>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7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E1E1E"/>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p>
    <w:p>
      <w:pPr>
        <w:spacing w:after="0" w:line="80" w:lineRule="exact"/>
        <w:rPr>
          <w:sz w:val="20"/>
          <w:szCs w:val="20"/>
          <w:color w:val="auto"/>
        </w:rPr>
      </w:pPr>
    </w:p>
    <w:p>
      <w:pPr>
        <w:ind w:right="180" w:firstLine="490"/>
        <w:spacing w:after="0" w:line="246" w:lineRule="auto"/>
        <w:rPr>
          <w:sz w:val="20"/>
          <w:szCs w:val="20"/>
          <w:color w:val="auto"/>
        </w:rPr>
      </w:pPr>
      <w:r>
        <w:rPr>
          <w:rFonts w:ascii="Times New Roman" w:cs="Times New Roman" w:eastAsia="Times New Roman" w:hAnsi="Times New Roman"/>
          <w:sz w:val="20"/>
          <w:szCs w:val="20"/>
          <w:color w:val="1E1E1E"/>
        </w:rPr>
        <w:t>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issue preferred stock may deter takeover attempts.</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E1E1E"/>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ectPr>
          <w:pgSz w:w="11880" w:h="15480" w:orient="portrait"/>
          <w:cols w:equalWidth="0" w:num="1">
            <w:col w:w="10180"/>
          </w:cols>
          <w:pgMar w:left="820" w:top="80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10180"/>
          </w:cols>
          <w:pgMar w:left="820" w:top="806" w:right="8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1E1E1E"/>
        </w:rPr>
        <w:t>Item 1B. Unresolved Staff Comments.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1C. Cybersecurity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 Management and Strategy</w:t>
      </w:r>
    </w:p>
    <w:p>
      <w:pPr>
        <w:spacing w:after="0" w:line="118"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1E1E1E"/>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of our customers and employees (“Information Systems and Data”).</w:t>
      </w:r>
    </w:p>
    <w:p>
      <w:pPr>
        <w:spacing w:after="0" w:line="7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Our Information Security function is overseen by our Chief Technology Officer (“CTO”), our information security team, security management, engineering operations, legal, risk management, and various third-party service providers, including our virtual Chief Information Security Officer (“vCISO”). In doing so, they identify, assess and manage the Company’s cybersecurity threats and risks,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coordinating with law enforcement concerning threats, conducting internal and/or external audits and threat assessments for internal and external threats, utilizing third-party threat assessments, conducting threat and vulnerability assessments, using external intelligence feeds, and using third parties to conduct tabletop incident response exercises and other tests.</w:t>
      </w:r>
    </w:p>
    <w:p>
      <w:pPr>
        <w:spacing w:after="0" w:line="8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1E1E1E"/>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and incident response policy, incident detection and response capabilities, a vulnerability management policy, disaster recovery/business continuity plans, risk assessments, implementation of security standards and certifications for certain platforms, encryption of certain data, network security controls and data segregation for certain environments, access controls for certain systems, physical security, asset management, tracking and disposal, systems monitoring, incident response table-top exercises, vendor risk management program, employee training, penetration testing, cybersecurity insurance, and dedicated cybersecurity staff.</w:t>
      </w:r>
    </w:p>
    <w:p>
      <w:pPr>
        <w:spacing w:after="0" w:line="8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Our assessment and management of material risks from cybersecurity threats are integrated into the Company’s overall risk management processes. Cyber risk is addressed as a critical component of the company's enterprise risk management program and is based upon entity-level controls found in our SOC2 compliance program, addressing all five trust service criteria: security, availability, confidentiality, privacy, and processing integrity. The Company recently received an unqualified opinion from an industry-recognized audit firm attesting to our SOC2 Type II compliance as of the date of such report.</w:t>
      </w:r>
    </w:p>
    <w:p>
      <w:pPr>
        <w:spacing w:after="0" w:line="77" w:lineRule="exact"/>
        <w:rPr>
          <w:sz w:val="20"/>
          <w:szCs w:val="20"/>
          <w:color w:val="auto"/>
        </w:rPr>
      </w:pPr>
    </w:p>
    <w:p>
      <w:pPr>
        <w:ind w:right="320" w:firstLine="490"/>
        <w:spacing w:after="0" w:line="253" w:lineRule="auto"/>
        <w:rPr>
          <w:sz w:val="20"/>
          <w:szCs w:val="20"/>
          <w:color w:val="auto"/>
        </w:rPr>
      </w:pPr>
      <w:r>
        <w:rPr>
          <w:rFonts w:ascii="Times New Roman" w:cs="Times New Roman" w:eastAsia="Times New Roman" w:hAnsi="Times New Roman"/>
          <w:sz w:val="20"/>
          <w:szCs w:val="20"/>
          <w:color w:val="1E1E1E"/>
        </w:rPr>
        <w:t>We use third-party service providers to assist us from time to time to identify, assess, and manage material risks from cybersecurity threats, including, for example, professional services firms (such as outside legal counsel), penetration testing firms, threat intelligence service providers, dark web monitoring services, forensic investigators, cybersecurity software providers, managed cybersecurity service providers, and cybersecurity consultants.</w:t>
      </w:r>
    </w:p>
    <w:p>
      <w:pPr>
        <w:spacing w:after="0" w:line="7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We use third-party service providers to perform a variety of functions throughout our business, such as application providers, hosting companies, and supply chain resources. We have a vendor management program to manage cybersecurity risks associated with our use of these providers. The program includes security questionnaires, risk assessments for each vendor, reviewing certain vendors’ security assessments and written information security programs, the imposition of information contractual obligations, and, in certain instances, security assessment calls with select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including providing third-party attestations of compliance with certain cybersecurity frameworks, such as SOC2 or ISO 27001.</w:t>
      </w:r>
    </w:p>
    <w:p>
      <w:pPr>
        <w:spacing w:after="0" w:line="86"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For a description of the risks from cybersecurity threats that may materially affect the Company and how they may do so, see our “Risks Related to Data Privacy and Cybersecurity” under Part 1. Item 1A. Risk Factors in this Annual Report.</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220"/>
          </w:cols>
          <w:pgMar w:left="820" w:top="803" w:right="84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1E1E1E"/>
        </w:rPr>
        <w:t>Governance</w:t>
      </w:r>
    </w:p>
    <w:p>
      <w:pPr>
        <w:spacing w:after="0" w:line="118" w:lineRule="exact"/>
        <w:rPr>
          <w:sz w:val="20"/>
          <w:szCs w:val="20"/>
          <w:color w:val="auto"/>
        </w:rPr>
      </w:pPr>
    </w:p>
    <w:p>
      <w:pPr>
        <w:jc w:val="both"/>
        <w:ind w:right="420" w:firstLine="490"/>
        <w:spacing w:after="0" w:line="259" w:lineRule="auto"/>
        <w:rPr>
          <w:sz w:val="20"/>
          <w:szCs w:val="20"/>
          <w:color w:val="auto"/>
        </w:rPr>
      </w:pPr>
      <w:r>
        <w:rPr>
          <w:rFonts w:ascii="Times New Roman" w:cs="Times New Roman" w:eastAsia="Times New Roman" w:hAnsi="Times New Roman"/>
          <w:sz w:val="20"/>
          <w:szCs w:val="20"/>
          <w:color w:val="1E1E1E"/>
        </w:rPr>
        <w:t>Our audit committee of the board of directors addresses the Company’s cybersecurity risk management as part of its general oversight function. The audit committee is responsible for overseeing Company’s cybersecurity risk management processes, including oversight of risks from cybersecurity threats.</w:t>
      </w:r>
    </w:p>
    <w:p>
      <w:pPr>
        <w:spacing w:after="0" w:line="65" w:lineRule="exact"/>
        <w:rPr>
          <w:sz w:val="20"/>
          <w:szCs w:val="20"/>
          <w:color w:val="auto"/>
        </w:rPr>
      </w:pPr>
    </w:p>
    <w:p>
      <w:pPr>
        <w:jc w:val="both"/>
        <w:ind w:right="420" w:firstLine="490"/>
        <w:spacing w:after="0" w:line="259" w:lineRule="auto"/>
        <w:rPr>
          <w:sz w:val="20"/>
          <w:szCs w:val="20"/>
          <w:color w:val="auto"/>
        </w:rPr>
      </w:pPr>
      <w:r>
        <w:rPr>
          <w:rFonts w:ascii="Times New Roman" w:cs="Times New Roman" w:eastAsia="Times New Roman" w:hAnsi="Times New Roman"/>
          <w:sz w:val="20"/>
          <w:szCs w:val="20"/>
          <w:color w:val="1E1E1E"/>
        </w:rPr>
        <w:t>Our cybersecurity risk assessment and management processes are implemented and maintained by certain Company management, including our Senior Principal Security and Infrastructure Architect with over 20 years managing large scale enterprise security systems and programs.</w:t>
      </w:r>
    </w:p>
    <w:p>
      <w:pPr>
        <w:spacing w:after="0" w:line="65"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1E1E1E"/>
        </w:rPr>
        <w:t>The CTO is responsible for hiring appropriate personnel, helping to integrate cybersecurity risk considerations into the Company’s overall risk management strategy, and communicating key priorities to relevant personnel. The CTO is also responsible for approving budgets, helping prepare for cybersecurity incidents, approving cybersecurity processes, and reviewing security assessments and other security-related reports.</w:t>
      </w:r>
    </w:p>
    <w:p>
      <w:pPr>
        <w:spacing w:after="0" w:line="7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Our cybersecurity incident response and vulnerability management policies are designed to escalate certain cybersecurity incidents to members of management depending on the circumstances, including the Chief Financial Officer, Chief Legal Officer and Chief Executive Officer in their role as executive leadership for the Incident Response Team. The executive leadership team will work with the Company’s incident response team to help the Company mitigate and remediate cybersecurity incidents of which they are notified. In addition, the Company’s incident response and vulnerability management policy include reporting to the audit committee for certain cybersecurity incidents.</w:t>
      </w:r>
    </w:p>
    <w:p>
      <w:pPr>
        <w:spacing w:after="0" w:line="8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audit committee receives quarterly reports from the CTO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2. Properties.</w:t>
      </w:r>
    </w:p>
    <w:p>
      <w:pPr>
        <w:spacing w:after="0" w:line="12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Our corporate headquarters is located in Framingham, Massachusetts and consists of approximately 55,700 square feet of space under a lease that expire in January 2029, with extension options. As of December 31, 2023, we have other offices in Sweden and India.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3. Legal Proceedings.</w:t>
      </w:r>
    </w:p>
    <w:p>
      <w:pPr>
        <w:spacing w:after="0" w:line="12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4. Mine Safety Disclosures.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220"/>
          </w:cols>
          <w:pgMar w:left="820" w:top="808" w:right="840" w:bottom="0" w:gutter="0" w:footer="0" w:header="0"/>
          <w:type w:val="continuous"/>
        </w:sectPr>
      </w:pPr>
    </w:p>
    <w:bookmarkStart w:id="53" w:name="page54"/>
    <w:bookmarkEnd w:id="53"/>
    <w:p>
      <w:pPr>
        <w:jc w:val="center"/>
        <w:ind w:right="-119"/>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360"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20"/>
          <w:szCs w:val="20"/>
          <w:b w:val="1"/>
          <w:bCs w:val="1"/>
          <w:color w:val="1E1E1E"/>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Market Information for Common Stock</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 xml:space="preserve">Our Class A Common Stock is listed and traded on the Nasdaq Global Select Market under the trading symbol </w:t>
      </w:r>
      <w:r>
        <w:rPr>
          <w:rFonts w:ascii="Times New Roman" w:cs="Times New Roman" w:eastAsia="Times New Roman" w:hAnsi="Times New Roman"/>
          <w:sz w:val="24"/>
          <w:szCs w:val="24"/>
          <w:color w:val="1E1E1E"/>
        </w:rPr>
        <w:t>“</w:t>
      </w:r>
      <w:r>
        <w:rPr>
          <w:rFonts w:ascii="Times New Roman" w:cs="Times New Roman" w:eastAsia="Times New Roman" w:hAnsi="Times New Roman"/>
          <w:sz w:val="20"/>
          <w:szCs w:val="20"/>
          <w:color w:val="1E1E1E"/>
        </w:rPr>
        <w:t>DH</w:t>
      </w:r>
      <w:r>
        <w:rPr>
          <w:rFonts w:ascii="Times New Roman" w:cs="Times New Roman" w:eastAsia="Times New Roman" w:hAnsi="Times New Roman"/>
          <w:sz w:val="24"/>
          <w:szCs w:val="24"/>
          <w:color w:val="1E1E1E"/>
        </w:rPr>
        <w:t>”</w:t>
      </w:r>
      <w:r>
        <w:rPr>
          <w:rFonts w:ascii="Times New Roman" w:cs="Times New Roman" w:eastAsia="Times New Roman" w:hAnsi="Times New Roman"/>
          <w:sz w:val="20"/>
          <w:szCs w:val="20"/>
          <w:color w:val="1E1E1E"/>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There is no established public trading market for our Class B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Stockholders</w:t>
      </w:r>
    </w:p>
    <w:p>
      <w:pPr>
        <w:spacing w:after="0" w:line="123"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1E1E1E"/>
        </w:rPr>
        <w:t>As of February 23, 2024, there were 34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Dividends</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We have no current plans to pay dividends on our Class A common stock. The declaration, amount, and payment of any future dividends on shares of Class A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ectPr>
          <w:pgSz w:w="11880" w:h="15480" w:orient="portrait"/>
          <w:cols w:equalWidth="0" w:num="1">
            <w:col w:w="10120"/>
          </w:cols>
          <w:pgMar w:left="820" w:top="80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120"/>
          </w:cols>
          <w:pgMar w:left="820" w:top="803" w:right="9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1E1E1E"/>
        </w:rPr>
        <w:t>Stock Performance Graph</w:t>
      </w:r>
    </w:p>
    <w:p>
      <w:pPr>
        <w:spacing w:after="0" w:line="12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i w:val="1"/>
          <w:iCs w:val="1"/>
          <w:color w:val="1E1E1E"/>
        </w:rPr>
        <w:t>The following shall not be deemed “soliciting material” or to be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65"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The graph below compares the cumulative total stockholder return on our Class A Common Stock with the cumulative total return on the Nasdaq Composite Total Return (^XCMP) and the S&amp;P 500 Internet Services &amp; Infrastructure Index, assuming an initial investment of $100 at the market close on September 15, 2021, the date our Class A Common Stock commenced trading on the Nasdaq Global Select Market. Data for the Nasdaq Composite Total Return and S&amp;P 500 Internet Services &amp; Infrastructure Index assume reinvestment of dividends.</w:t>
      </w:r>
    </w:p>
    <w:p>
      <w:pPr>
        <w:spacing w:after="0" w:line="77"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20"/>
          <w:szCs w:val="20"/>
          <w:color w:val="1E1E1E"/>
        </w:rPr>
        <w:t>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6486525" cy="3476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6525" cy="3476625"/>
                    </a:xfrm>
                    <a:prstGeom prst="rect">
                      <a:avLst/>
                    </a:prstGeom>
                    <a:noFill/>
                  </pic:spPr>
                </pic:pic>
              </a:graphicData>
            </a:graphic>
          </wp:anchor>
        </w:drawing>
      </w:r>
    </w:p>
    <w:p>
      <w:pPr>
        <w:sectPr>
          <w:pgSz w:w="11880" w:h="15480" w:orient="portrait"/>
          <w:cols w:equalWidth="0" w:num="1">
            <w:col w:w="10040"/>
          </w:cols>
          <w:pgMar w:left="820" w:top="80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040"/>
          </w:cols>
          <w:pgMar w:left="820" w:top="803" w:right="1020" w:bottom="0" w:gutter="0" w:footer="0" w:header="0"/>
          <w:type w:val="continuous"/>
        </w:sectPr>
      </w:pPr>
    </w:p>
    <w:bookmarkStart w:id="55" w:name="page56"/>
    <w:bookmarkEnd w:id="55"/>
    <w:p>
      <w:pPr>
        <w:ind w:right="4460"/>
        <w:spacing w:after="0" w:line="429" w:lineRule="auto"/>
        <w:rPr>
          <w:sz w:val="20"/>
          <w:szCs w:val="20"/>
          <w:color w:val="auto"/>
        </w:rPr>
      </w:pPr>
      <w:r>
        <w:rPr>
          <w:rFonts w:ascii="Times New Roman" w:cs="Times New Roman" w:eastAsia="Times New Roman" w:hAnsi="Times New Roman"/>
          <w:sz w:val="20"/>
          <w:szCs w:val="20"/>
          <w:b w:val="1"/>
          <w:bCs w:val="1"/>
          <w:color w:val="1E1E1E"/>
        </w:rPr>
        <w:t xml:space="preserve">Recent Sales of Unregistered Equity Securities and Use of Proceeds </w:t>
      </w:r>
      <w:r>
        <w:rPr>
          <w:rFonts w:ascii="Times New Roman" w:cs="Times New Roman" w:eastAsia="Times New Roman" w:hAnsi="Times New Roman"/>
          <w:sz w:val="20"/>
          <w:szCs w:val="20"/>
          <w:b w:val="1"/>
          <w:bCs w:val="1"/>
          <w:i w:val="1"/>
          <w:iCs w:val="1"/>
          <w:color w:val="1E1E1E"/>
        </w:rPr>
        <w:t>Unregistered Sales of Equity Securities</w:t>
      </w:r>
    </w:p>
    <w:p>
      <w:pPr>
        <w:spacing w:after="0" w:line="1"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the LLC Unit holder are cancelled. Such exchanges executed in the fourth quarter of 2023 are as follows:</w:t>
      </w:r>
    </w:p>
    <w:p>
      <w:pPr>
        <w:spacing w:after="0" w:line="74"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1E1E1E"/>
              </w:rPr>
              <w:t>Number of Shares</w:t>
            </w:r>
          </w:p>
        </w:tc>
        <w:tc>
          <w:tcPr>
            <w:tcW w:w="60" w:type="dxa"/>
            <w:vAlign w:val="bottom"/>
          </w:tcPr>
          <w:p>
            <w:pPr>
              <w:spacing w:after="0"/>
              <w:rPr>
                <w:sz w:val="19"/>
                <w:szCs w:val="19"/>
                <w:color w:val="auto"/>
              </w:rPr>
            </w:pPr>
          </w:p>
        </w:tc>
      </w:tr>
      <w:tr>
        <w:trPr>
          <w:trHeight w:val="254"/>
        </w:trPr>
        <w:tc>
          <w:tcPr>
            <w:tcW w:w="30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b w:val="1"/>
                <w:bCs w:val="1"/>
                <w:color w:val="1E1E1E"/>
              </w:rPr>
              <w:t>Date of Exchange</w:t>
            </w:r>
          </w:p>
        </w:tc>
        <w:tc>
          <w:tcPr>
            <w:tcW w:w="180" w:type="dxa"/>
            <w:vAlign w:val="bottom"/>
            <w:tcBorders>
              <w:bottom w:val="single" w:sz="8" w:color="E4E4E4"/>
            </w:tcBorders>
          </w:tcPr>
          <w:p>
            <w:pPr>
              <w:spacing w:after="0"/>
              <w:rPr>
                <w:sz w:val="22"/>
                <w:szCs w:val="22"/>
                <w:color w:val="auto"/>
              </w:rPr>
            </w:pPr>
          </w:p>
        </w:tc>
        <w:tc>
          <w:tcPr>
            <w:tcW w:w="188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1E1E1E"/>
              </w:rPr>
              <w:t>Exchanged</w:t>
            </w:r>
          </w:p>
        </w:tc>
        <w:tc>
          <w:tcPr>
            <w:tcW w:w="60" w:type="dxa"/>
            <w:vAlign w:val="bottom"/>
            <w:tcBorders>
              <w:bottom w:val="single" w:sz="8" w:color="E4E4E4"/>
            </w:tcBorders>
          </w:tcPr>
          <w:p>
            <w:pPr>
              <w:spacing w:after="0"/>
              <w:rPr>
                <w:sz w:val="22"/>
                <w:szCs w:val="22"/>
                <w:color w:val="auto"/>
              </w:rPr>
            </w:pPr>
          </w:p>
        </w:tc>
      </w:tr>
      <w:tr>
        <w:trPr>
          <w:trHeight w:val="220"/>
        </w:trPr>
        <w:tc>
          <w:tcPr>
            <w:tcW w:w="30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November 27, 2023</w:t>
            </w:r>
          </w:p>
        </w:tc>
        <w:tc>
          <w:tcPr>
            <w:tcW w:w="180" w:type="dxa"/>
            <w:vAlign w:val="bottom"/>
            <w:shd w:val="clear" w:color="auto" w:fill="E4E4E4"/>
          </w:tcPr>
          <w:p>
            <w:pPr>
              <w:spacing w:after="0"/>
              <w:rPr>
                <w:sz w:val="19"/>
                <w:szCs w:val="19"/>
                <w:color w:val="auto"/>
              </w:rPr>
            </w:pPr>
          </w:p>
        </w:tc>
        <w:tc>
          <w:tcPr>
            <w:tcW w:w="18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1,332</w:t>
            </w:r>
          </w:p>
        </w:tc>
        <w:tc>
          <w:tcPr>
            <w:tcW w:w="60" w:type="dxa"/>
            <w:vAlign w:val="bottom"/>
            <w:shd w:val="clear" w:color="auto" w:fill="E4E4E4"/>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1E1E1E"/>
              </w:rPr>
              <w:t>December 11, 2023</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666</w:t>
            </w:r>
          </w:p>
        </w:tc>
        <w:tc>
          <w:tcPr>
            <w:tcW w:w="60" w:type="dxa"/>
            <w:vAlign w:val="bottom"/>
          </w:tcPr>
          <w:p>
            <w:pPr>
              <w:spacing w:after="0"/>
              <w:rPr>
                <w:sz w:val="19"/>
                <w:szCs w:val="19"/>
                <w:color w:val="auto"/>
              </w:rPr>
            </w:pPr>
          </w:p>
        </w:tc>
      </w:tr>
      <w:tr>
        <w:trPr>
          <w:trHeight w:val="230"/>
        </w:trPr>
        <w:tc>
          <w:tcPr>
            <w:tcW w:w="30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December 21, 2023</w:t>
            </w:r>
          </w:p>
        </w:tc>
        <w:tc>
          <w:tcPr>
            <w:tcW w:w="20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12,970</w:t>
            </w:r>
          </w:p>
        </w:tc>
        <w:tc>
          <w:tcPr>
            <w:tcW w:w="60" w:type="dxa"/>
            <w:vAlign w:val="bottom"/>
            <w:shd w:val="clear" w:color="auto" w:fill="E4E4E4"/>
          </w:tcPr>
          <w:p>
            <w:pPr>
              <w:spacing w:after="0"/>
              <w:rPr>
                <w:sz w:val="19"/>
                <w:szCs w:val="19"/>
                <w:color w:val="auto"/>
              </w:rPr>
            </w:pPr>
          </w:p>
        </w:tc>
      </w:tr>
      <w:tr>
        <w:trPr>
          <w:trHeight w:val="220"/>
        </w:trPr>
        <w:tc>
          <w:tcPr>
            <w:tcW w:w="30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80" w:type="dxa"/>
            <w:vAlign w:val="bottom"/>
          </w:tcPr>
          <w:p>
            <w:pPr>
              <w:spacing w:after="0"/>
              <w:rPr>
                <w:sz w:val="19"/>
                <w:szCs w:val="19"/>
                <w:color w:val="auto"/>
              </w:rPr>
            </w:pPr>
          </w:p>
        </w:tc>
        <w:tc>
          <w:tcPr>
            <w:tcW w:w="18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14,968</w:t>
            </w:r>
          </w:p>
        </w:tc>
        <w:tc>
          <w:tcPr>
            <w:tcW w:w="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Use of Proceeds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Issuer Purchases of Equity Securities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6. Reserved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7. Management’s Discussion and Analysis of Financial Condition and Results of Operations.</w:t>
      </w:r>
    </w:p>
    <w:p>
      <w:pPr>
        <w:spacing w:after="0" w:line="12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i w:val="1"/>
          <w:iCs w:val="1"/>
          <w:color w:val="1E1E1E"/>
        </w:rPr>
        <w:t>The following discussion includes a comparison of our results of operations, financial condition, and liquidity and capital resources for fiscal years 2023, 2022 and 2021. This discussion is provided as a supplement to, and should be read in conjunction with, our consolidated financial statements and accompanying Notes to the Financial Statements found in Part II, Item 8 of this Form 10-K.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12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2,900 customers as of December 31, 2023. We generally define a customer as a company that maintains one or more active paid subscriptions to our platform.</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spacing w:after="0" w:line="8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We were founded in 2011 by our Executive Chairman and current Interim Chief Executive Officer,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7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ectPr>
          <w:pgSz w:w="11880" w:h="15480" w:orient="portrait"/>
          <w:cols w:equalWidth="0" w:num="1">
            <w:col w:w="10200"/>
          </w:cols>
          <w:pgMar w:left="820" w:top="80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200"/>
          </w:cols>
          <w:pgMar w:left="820" w:top="803" w:right="86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1E1E1E"/>
        </w:rPr>
        <w:t>Recent Developments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Acquisitions</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 xml:space="preserve">On July 21, 2023, the Company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a $0.1 million reimbursement from sellers for working capital adjustments, and up to $28.0 million of contingent consideration, with an initial estimated fair value of $7.8 million, subject to meeting certain revenue metrics during calendar years 2024 and 2025. The initial accounting for the business combination is complete but provisional measurements of fair values reported as of December 31, 2023 are subject to change and accordingly, we expect to finalize the purchase price allocations as soon as practical, but no later than one year from the acquisition date. See Note 3. </w:t>
      </w:r>
      <w:r>
        <w:rPr>
          <w:rFonts w:ascii="Times New Roman" w:cs="Times New Roman" w:eastAsia="Times New Roman" w:hAnsi="Times New Roman"/>
          <w:sz w:val="20"/>
          <w:szCs w:val="20"/>
          <w:i w:val="1"/>
          <w:iCs w:val="1"/>
          <w:color w:val="1E1E1E"/>
        </w:rPr>
        <w:t>Acquisitions</w:t>
      </w:r>
      <w:r>
        <w:rPr>
          <w:rFonts w:ascii="Times New Roman" w:cs="Times New Roman" w:eastAsia="Times New Roman" w:hAnsi="Times New Roman"/>
          <w:sz w:val="20"/>
          <w:szCs w:val="20"/>
          <w:color w:val="1E1E1E"/>
        </w:rPr>
        <w:t xml:space="preserve"> in the accompanying consolidated financial statements.</w:t>
      </w:r>
    </w:p>
    <w:p>
      <w:pPr>
        <w:spacing w:after="0" w:line="86"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On January 16, 2024, the Company completed the purchase of assets comprising the Carevoyance business line of H1 Insights, Inc., a product that helps MedTech customers to improve segmentation, targeting, and prospect engagement for $14.0 million, subject to closing adjustments. The initial accounting for the business combination is incomplete as a result of the timing of the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 Impairment</w:t>
      </w:r>
    </w:p>
    <w:p>
      <w:pPr>
        <w:spacing w:after="0" w:line="11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a non-cash, pretax, goodwill impairment charge of $287.4 million. The goodwill impairment charge did not affect our liquidity or the financial covenants in our outstanding debt agreement.</w:t>
      </w:r>
    </w:p>
    <w:p>
      <w:pPr>
        <w:spacing w:after="0" w:line="7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 xml:space="preserve">During the quarter ended December 31, 2023, we performed a quantitative assessment and concluded that the fair value of our single reporting unit exceeded its carrying value as of December 31, 2023. We will continue to monitor for potential impairment should impairment indicators arise. See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 xml:space="preserve"> in the accompanying consolidated financial statements. Our reporting unit is at risk for future goodwill impairments if we experience a continued decline in our market capitalization or worsening macroeconomic conditions.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Restructuring Charges</w:t>
      </w:r>
    </w:p>
    <w:p>
      <w:pPr>
        <w:spacing w:after="0" w:line="11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E1E1E"/>
        </w:rPr>
        <w:t>During the first and third quarters of 2023, we committed to restructuring plans intended to reduce operating costs, improve operating margins, and continue advancing our ongoing commitment to profitable growth by reducing our workforce by approximately 100 people and, as a result, incurred restructuring and related charges of $4.7 million during the year ended December 31, 2023. These charges consisted primarily of severance payments, employee benefits, and related cash expenses. These charges were recognized within Transaction, integration, and restructuring expenses in the accompanying consolidated statement of operations.</w:t>
      </w:r>
    </w:p>
    <w:p>
      <w:pPr>
        <w:spacing w:after="0" w:line="8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On January 3, 2024, we committed to a restructuring plan intended to further reduce operating costs, improve operating margins, and continue advancing our ongoing commitment to profitable growth. This plan provided for a reduction of our current workforce by 154 people. We estimate that in the first half of 2024, we will incur pre-tax cash restructuring and related charges of approximately $6.5 million to $7.2 million, consisting primarily of severance payments, employee benefits, and related cash expenses, as well as an approximate $1.5 million non-cash stock-based compensation charge related to the vesting of share-based awards for employees who are terminated. We expect these actions will be substantially complete by the end of the second quarter of 2024. We do not expect to incur any further material charges associated with these specific restructuring plans other than as described above.</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220"/>
          </w:cols>
          <w:pgMar w:left="820" w:top="803" w:right="84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1E1E1E"/>
        </w:rPr>
        <w:t>Restatement of Previously Issued Financial Statements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the first quarter of 2023, we began a review of our sales tax positions, and related accounting matters, with the assistance of outside consultants. As a result of the review, we determined during the second quarter of 2023 that sales in certain states were subject to sales tax and that we had not assessed such sales tax on sales of our services to customers. We determined that we did not accrue sales taxes and corrected these misstatements by recording sales tax accruals through general and administrative expense as of the end of each affected period. The original accrual amounts assumed that (i) customers who have not provided certificates or other documentation of exemption from sales tax are taxable, (ii) maximum interest and penalty assessments may be imposed, and (iii) we will not receive waivers of interest and penalties or other benefits under agreements we may obtain with jurisdictions from outreach with voluntarily disclosures. These accrual amounts have been, and will continue to be, adjusted as we enter into voluntary disclosure agreements with the applicable jurisdictions. We will continue to accrue interest on any outstanding liabilities until the voluntary disclosure agreements are settled. The misstatements that appeared in the previously issued financial statements were material, and we also corrected other immaterial errors.</w:t>
      </w:r>
    </w:p>
    <w:p>
      <w:pPr>
        <w:spacing w:after="0" w:line="86" w:lineRule="exact"/>
        <w:rPr>
          <w:sz w:val="20"/>
          <w:szCs w:val="20"/>
          <w:color w:val="auto"/>
        </w:rPr>
      </w:pPr>
    </w:p>
    <w:p>
      <w:pPr>
        <w:ind w:right="260" w:firstLine="490"/>
        <w:spacing w:after="0" w:line="245" w:lineRule="auto"/>
        <w:rPr>
          <w:sz w:val="20"/>
          <w:szCs w:val="20"/>
          <w:color w:val="auto"/>
        </w:rPr>
      </w:pPr>
      <w:r>
        <w:rPr>
          <w:rFonts w:ascii="Times New Roman" w:cs="Times New Roman" w:eastAsia="Times New Roman" w:hAnsi="Times New Roman"/>
          <w:sz w:val="20"/>
          <w:szCs w:val="20"/>
          <w:color w:val="1E1E1E"/>
        </w:rPr>
        <w:t>As described in additional detail in the Explanatory Note in our Amendment No. 1 on Form 10-K/A to our Annual Report on Form 10-K for the year ended December 31, 2022 (the “2022 Form 10-K/A”) filed with the SEC on August 14, 2023, we restated our audited consolidated financial statements as of and for the years ended December 31, 2022, 2021 and 2020, as well as the unaudited condensed consolidated quarterly financial information for the quarterly periods in the fiscal years ended December 31, 2022, 2021, and 2020, to reflect the correction of the misstatements and other immaterial adjustments, and to make corresponding disclosures. We also filed an Amendment No. 1 on Form 10-Q/A to amend the Quarterly Report on Form 10-Q for the three months ended March 31, 2023 with the SEC on August 14, 2023, to restate our unaudited condensed consolidated financial statements for the three months ended March 31, 2023 and 2022.</w:t>
      </w:r>
    </w:p>
    <w:p>
      <w:pPr>
        <w:spacing w:after="0" w:line="82"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The restated prior-year results are reflected in the consolidated financial results disclosed within this Annual Report on Form 10-K.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Macroeconomic Conditions</w:t>
      </w:r>
    </w:p>
    <w:p>
      <w:pPr>
        <w:spacing w:after="0" w:line="123"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As a corporation with a global footprint, we are subject to risks and exposures caused by significant events and their macroeconomic impacts, including, but not limited to, the Russia- Ukraine war, the evolving conflict in Israel and surrounding areas, global geopolitical tension and more recently, inflation and high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8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and provider markets. This churn impacted our revenue growth in 2023, and we expect this will continue to impact our growth in 2024 as we remediate the underlying issues. We are continuing to evaluate these and other past and potential future direct and indirect impacts on our business and results of operations.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220"/>
          </w:cols>
          <w:pgMar w:left="820" w:top="808" w:right="8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1E1E1E"/>
        </w:rPr>
        <w:t>Key Factors Affecting Our Performance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We believe that the growth and future success of our business depend on many factors, including the following: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Acquiring New Customers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ARR, which we refer to as “Enterprise Customers”, represent the majority of our ARR and are a key focus of our go-to-market programs. As of December 31, 2023, we had 565 Enterprise Customers and approximately 2,900 customers overall, and as of December 31, 2022, we had 537 Enterprise Customers and approximately 3,000 customers overall. While our Enterprise Customer count has grown, our total customer counts decreased slightly in 2023, reflecting the impact of macroeconomic conditions on our prospective and existing customers.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Expanding Relationships with Existing Customers</w:t>
      </w:r>
    </w:p>
    <w:p>
      <w:pPr>
        <w:spacing w:after="0" w:line="118" w:lineRule="exact"/>
        <w:rPr>
          <w:sz w:val="20"/>
          <w:szCs w:val="20"/>
          <w:color w:val="auto"/>
        </w:rPr>
      </w:pPr>
    </w:p>
    <w:p>
      <w:pPr>
        <w:ind w:right="860" w:firstLine="490"/>
        <w:spacing w:after="0" w:line="279" w:lineRule="auto"/>
        <w:rPr>
          <w:sz w:val="20"/>
          <w:szCs w:val="20"/>
          <w:color w:val="auto"/>
        </w:rPr>
      </w:pPr>
      <w:r>
        <w:rPr>
          <w:rFonts w:ascii="Times New Roman" w:cs="Times New Roman" w:eastAsia="Times New Roman" w:hAnsi="Times New Roman"/>
          <w:sz w:val="20"/>
          <w:szCs w:val="20"/>
          <w:color w:val="1E1E1E"/>
        </w:rPr>
        <w:t>We believe there is a significant opportunity to generate additional revenue from our existing customer base of approximately 2,900 as of December 31, 2023.</w:t>
      </w:r>
    </w:p>
    <w:p>
      <w:pPr>
        <w:spacing w:after="0" w:line="45"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1E1E1E"/>
        </w:rPr>
        <w:t>Our customers have historically increased their spending by adding functionality and by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Our progress in expanding usage of our platform with our existing customers is demonstrated by our NDR (see “Key Metrics”). For the year ended December 31, 2023, our NDR for customers generating more than $100,000 in ARR (“Enterprise Customers”) was 96%. As of December 31, 2023, we had 565 Enterprise Customers, which represented approximately 65% of our ARR. Our NDR for all customers over $17,500 ARR was 92%. For the year ended December 31, 2022, our NDR for Enterprise Customers was 110% and our NDR for all customers over $17,500 ARR was 103%. For the year ended December 31, 2021, our NDR for Enterprise Customers was 120% and our NDR for all customers over $17,500 ARR was 111%.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Continuing to Innovate and Expand Our Platform</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220"/>
          </w:cols>
          <w:pgMar w:left="820" w:top="803" w:right="84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1E1E1E"/>
        </w:rPr>
        <w:t>Key Metrics</w:t>
      </w:r>
    </w:p>
    <w:p>
      <w:pPr>
        <w:spacing w:after="0" w:line="123"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1E1E1E"/>
        </w:rPr>
        <w:t>We monitor the following key metrics to help us evaluate our business performance, identify financial trends, formulate business plans, and make strategic operational decisions.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Net Dollar Retention Rate (“NDR”)</w:t>
      </w:r>
    </w:p>
    <w:p>
      <w:pPr>
        <w:spacing w:after="0" w:line="118"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1E1E1E"/>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8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Unfavorable macroeconomic challenges are elongating deal cycles as customers implement more stringent approval processes or delay spending decisions, which impacts revenue from our existing customers, including upsells. As previously discussed, we have also experienced a significant number of deferred purchasing decisions and heightened customer churn, particularly in the life science and provider markets. As a result, our total NDR of 91% for the year ended December 31, 2023 has been reduced relative to our total NDR of 102% for the year ended December 31,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Current Remaining Performance Obligations (</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cRPO</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w:t>
      </w:r>
    </w:p>
    <w:p>
      <w:pPr>
        <w:spacing w:after="0" w:line="12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increased significantly in the fourth quarter compared with prior periods. This precludes several millions of dollars of business from being included in the cRPO metric and puts further downward pressure on the cRPO growth rate. Due to these factors, it is important to review cRPO in conjunction with revenue and other financial metrics.</w:t>
      </w:r>
    </w:p>
    <w:p>
      <w:pPr>
        <w:spacing w:after="0" w:line="86"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Our cRPO will continue to be impacted by macroeconomic challenges, which have resulted in elongating deal cycles as customers implement more stringent approval processes or push out final decisions to later periods. We have also observed cancellations due to the impacts of such challenges on the financial condition of our customers, particularly in the life science and provider markets. We expect this trend to reduce our revenue growth rate for 2024 relative to 2023.</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presents cRPO as of December 31, 2023 and 2022:</w:t>
      </w:r>
    </w:p>
    <w:p>
      <w:pPr>
        <w:spacing w:after="0" w:line="278"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1E1E1E"/>
                <w:w w:val="98"/>
              </w:rPr>
              <w:t>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80" w:type="dxa"/>
            <w:vAlign w:val="bottom"/>
          </w:tcPr>
          <w:p>
            <w:pPr>
              <w:spacing w:after="0"/>
              <w:rPr>
                <w:sz w:val="16"/>
                <w:szCs w:val="16"/>
                <w:color w:val="auto"/>
              </w:rPr>
            </w:pPr>
          </w:p>
        </w:tc>
      </w:tr>
      <w:tr>
        <w:trPr>
          <w:trHeight w:val="204"/>
        </w:trPr>
        <w:tc>
          <w:tcPr>
            <w:tcW w:w="5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100" w:type="dxa"/>
            <w:vAlign w:val="bottom"/>
            <w:tcBorders>
              <w:bottom w:val="single" w:sz="8" w:color="1E1E1E"/>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Borders>
              <w:bottom w:val="single" w:sz="8" w:color="E4E4E4"/>
            </w:tcBorders>
          </w:tcPr>
          <w:p>
            <w:pPr>
              <w:spacing w:after="0"/>
              <w:rPr>
                <w:sz w:val="17"/>
                <w:szCs w:val="17"/>
                <w:color w:val="auto"/>
              </w:rPr>
            </w:pPr>
          </w:p>
        </w:tc>
      </w:tr>
      <w:tr>
        <w:trPr>
          <w:trHeight w:val="220"/>
        </w:trPr>
        <w:tc>
          <w:tcPr>
            <w:tcW w:w="58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Current</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187,331</w:t>
            </w:r>
          </w:p>
        </w:tc>
        <w:tc>
          <w:tcPr>
            <w:tcW w:w="22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183,527</w:t>
            </w:r>
          </w:p>
        </w:tc>
        <w:tc>
          <w:tcPr>
            <w:tcW w:w="80" w:type="dxa"/>
            <w:vAlign w:val="bottom"/>
            <w:shd w:val="clear" w:color="auto" w:fill="E4E4E4"/>
          </w:tcPr>
          <w:p>
            <w:pPr>
              <w:spacing w:after="0"/>
              <w:rPr>
                <w:sz w:val="19"/>
                <w:szCs w:val="19"/>
                <w:color w:val="auto"/>
              </w:rPr>
            </w:pPr>
          </w:p>
        </w:tc>
      </w:tr>
      <w:tr>
        <w:trPr>
          <w:trHeight w:val="230"/>
        </w:trPr>
        <w:tc>
          <w:tcPr>
            <w:tcW w:w="5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Non-current</w:t>
            </w:r>
          </w:p>
        </w:tc>
        <w:tc>
          <w:tcPr>
            <w:tcW w:w="140" w:type="dxa"/>
            <w:vAlign w:val="bottom"/>
            <w:tcBorders>
              <w:bottom w:val="single" w:sz="8" w:color="E4E4E4"/>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89,636</w:t>
            </w:r>
          </w:p>
        </w:tc>
        <w:tc>
          <w:tcPr>
            <w:tcW w:w="220" w:type="dxa"/>
            <w:vAlign w:val="bottom"/>
            <w:tcBorders>
              <w:bottom w:val="single" w:sz="8" w:color="E4E4E4"/>
            </w:tcBorders>
          </w:tcPr>
          <w:p>
            <w:pPr>
              <w:spacing w:after="0"/>
              <w:rPr>
                <w:sz w:val="19"/>
                <w:szCs w:val="19"/>
                <w:color w:val="auto"/>
              </w:rPr>
            </w:pPr>
          </w:p>
        </w:tc>
        <w:tc>
          <w:tcPr>
            <w:tcW w:w="12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93,464</w:t>
            </w:r>
          </w:p>
        </w:tc>
        <w:tc>
          <w:tcPr>
            <w:tcW w:w="80" w:type="dxa"/>
            <w:vAlign w:val="bottom"/>
            <w:tcBorders>
              <w:bottom w:val="single" w:sz="8" w:color="E4E4E4"/>
            </w:tcBorders>
          </w:tcPr>
          <w:p>
            <w:pPr>
              <w:spacing w:after="0"/>
              <w:rPr>
                <w:sz w:val="19"/>
                <w:szCs w:val="19"/>
                <w:color w:val="auto"/>
              </w:rPr>
            </w:pPr>
          </w:p>
        </w:tc>
      </w:tr>
      <w:tr>
        <w:trPr>
          <w:trHeight w:val="220"/>
        </w:trPr>
        <w:tc>
          <w:tcPr>
            <w:tcW w:w="582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40" w:type="dxa"/>
            <w:vAlign w:val="bottom"/>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276,967</w:t>
            </w:r>
          </w:p>
        </w:tc>
        <w:tc>
          <w:tcPr>
            <w:tcW w:w="220" w:type="dxa"/>
            <w:vAlign w:val="bottom"/>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276,991</w:t>
            </w:r>
          </w:p>
        </w:tc>
        <w:tc>
          <w:tcPr>
            <w:tcW w:w="80" w:type="dxa"/>
            <w:vAlign w:val="bottom"/>
            <w:shd w:val="clear" w:color="auto" w:fill="E4E4E4"/>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Impact of Acquisitions</w:t>
      </w:r>
    </w:p>
    <w:p>
      <w:pPr>
        <w:spacing w:after="0" w:line="123"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We seek to enhance our platform, data and business through internal development and through acquisitions of and investments in businesses that broaden and strengthen our platform. On January 16, 2024, we completed the purchase of assets comprising the Carevoyance business line of H1 Insights, Inc., a product that helps MedTech customers to improve segmentation, targeting, and prospect engagement. In July 2023, we completed the acquisition of Populi, Inc., a provider-focused data and analytics company that works with healthcare organizations to optimize physician relationships, reduce network leakage, and expand market share. In February 2022, we completed our acquisition of Analytical Wizards Inc., a company that specializes in automating complex analytic models using tools that expedite efficient big data mining through A.I. and M.L. power to uncover deep insights. These acquisitions have strengthened our data platform and our business. Acquisitions can result in transaction costs, amortization expense and other adjustments as purchase accounting requires that all assets acquired and liabilities assumed be recorded at fair value on the acquisition date. See Note 3 in our consolidated financial statements included in Part II, Item 8 of this Form 10-K.</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220"/>
          </w:cols>
          <w:pgMar w:left="820" w:top="803" w:right="8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1E1E1E"/>
        </w:rPr>
        <w:t>Components of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E1E1E"/>
        </w:rPr>
        <w:t>For the year ended December 31, 2023,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86" w:lineRule="exact"/>
        <w:rPr>
          <w:sz w:val="20"/>
          <w:szCs w:val="20"/>
          <w:color w:val="auto"/>
        </w:rPr>
      </w:pPr>
    </w:p>
    <w:p>
      <w:pPr>
        <w:ind w:right="180" w:firstLine="540"/>
        <w:spacing w:after="0" w:line="279" w:lineRule="auto"/>
        <w:rPr>
          <w:sz w:val="20"/>
          <w:szCs w:val="20"/>
          <w:color w:val="auto"/>
        </w:rPr>
      </w:pPr>
      <w:r>
        <w:rPr>
          <w:rFonts w:ascii="Times New Roman" w:cs="Times New Roman" w:eastAsia="Times New Roman" w:hAnsi="Times New Roman"/>
          <w:sz w:val="20"/>
          <w:szCs w:val="20"/>
          <w:color w:val="1E1E1E"/>
        </w:rPr>
        <w:t>Because of the macroeconomic challenges described above, we expect a reduction in our revenue growth rate for 2024 relative to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Cost of Revenue</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i w:val="1"/>
          <w:iCs w:val="1"/>
          <w:color w:val="1E1E1E"/>
        </w:rPr>
        <w:t>Cost of Revenue</w:t>
      </w:r>
      <w:r>
        <w:rPr>
          <w:rFonts w:ascii="Times New Roman" w:cs="Times New Roman" w:eastAsia="Times New Roman" w:hAnsi="Times New Roman"/>
          <w:sz w:val="20"/>
          <w:szCs w:val="20"/>
          <w:color w:val="1E1E1E"/>
        </w:rPr>
        <w:t>. Cost of revenue, excluding amortization of acquired technology and data, consists of direct expenses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80" w:lineRule="exact"/>
        <w:rPr>
          <w:sz w:val="20"/>
          <w:szCs w:val="20"/>
          <w:color w:val="auto"/>
        </w:rPr>
      </w:pPr>
    </w:p>
    <w:p>
      <w:pPr>
        <w:jc w:val="both"/>
        <w:ind w:right="580" w:firstLine="490"/>
        <w:spacing w:after="0" w:line="279" w:lineRule="auto"/>
        <w:rPr>
          <w:sz w:val="20"/>
          <w:szCs w:val="20"/>
          <w:color w:val="auto"/>
        </w:rPr>
      </w:pPr>
      <w:r>
        <w:rPr>
          <w:rFonts w:ascii="Times New Roman" w:cs="Times New Roman" w:eastAsia="Times New Roman" w:hAnsi="Times New Roman"/>
          <w:sz w:val="20"/>
          <w:szCs w:val="20"/>
          <w:i w:val="1"/>
          <w:iCs w:val="1"/>
          <w:color w:val="1E1E1E"/>
        </w:rPr>
        <w:t>Amortization</w:t>
      </w:r>
      <w:r>
        <w:rPr>
          <w:rFonts w:ascii="Times New Roman" w:cs="Times New Roman" w:eastAsia="Times New Roman" w:hAnsi="Times New Roman"/>
          <w:sz w:val="20"/>
          <w:szCs w:val="20"/>
          <w:color w:val="1E1E1E"/>
        </w:rPr>
        <w:t>. Includes amortization expense for technology and data acquired in business combinations and asset</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purchase agreements. We anticipate that amortization will increase only if we make additional acquisitions in the future.</w:t>
      </w:r>
    </w:p>
    <w:p>
      <w:pPr>
        <w:spacing w:after="0" w:line="45"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At the beginning of 2023, additional third-party data sources were rolled out to our customers, which resulted in, and is expected to continue to result in, an increase in cost of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Gross Profit</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80" w:lineRule="exact"/>
        <w:rPr>
          <w:sz w:val="20"/>
          <w:szCs w:val="20"/>
          <w:color w:val="auto"/>
        </w:rPr>
      </w:pPr>
    </w:p>
    <w:p>
      <w:pPr>
        <w:ind w:right="440" w:firstLine="490"/>
        <w:spacing w:after="0" w:line="259" w:lineRule="auto"/>
        <w:rPr>
          <w:sz w:val="20"/>
          <w:szCs w:val="20"/>
          <w:color w:val="auto"/>
        </w:rPr>
      </w:pPr>
      <w:r>
        <w:rPr>
          <w:rFonts w:ascii="Times New Roman" w:cs="Times New Roman" w:eastAsia="Times New Roman" w:hAnsi="Times New Roman"/>
          <w:sz w:val="20"/>
          <w:szCs w:val="20"/>
          <w:color w:val="1E1E1E"/>
        </w:rPr>
        <w:t>While we expect our overall gross profit to increase for 2024 due to anticipated revenue growth, our gross margin is expected to modestly decrease due to the expansion of data sources, as described above, and costs associated with the acquisition of Populi.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Operating Expenses</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i w:val="1"/>
          <w:iCs w:val="1"/>
          <w:color w:val="1E1E1E"/>
        </w:rPr>
        <w:t xml:space="preserve">Sales and marketing. </w:t>
      </w:r>
      <w:r>
        <w:rPr>
          <w:rFonts w:ascii="Times New Roman" w:cs="Times New Roman" w:eastAsia="Times New Roman" w:hAnsi="Times New Roman"/>
          <w:sz w:val="20"/>
          <w:szCs w:val="20"/>
          <w:color w:val="1E1E1E"/>
        </w:rPr>
        <w:t>Sales and marketing expenses primarily consist of personnel costs such as salaries, bonuses, sales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220"/>
          </w:cols>
          <w:pgMar w:left="820" w:top="803" w:right="840" w:bottom="0" w:gutter="0" w:footer="0" w:header="0"/>
          <w:type w:val="continuous"/>
        </w:sectPr>
      </w:pPr>
    </w:p>
    <w:bookmarkStart w:id="61" w:name="page62"/>
    <w:bookmarkEnd w:id="61"/>
    <w:p>
      <w:pPr>
        <w:ind w:right="80" w:firstLine="490"/>
        <w:spacing w:after="0" w:line="247" w:lineRule="auto"/>
        <w:rPr>
          <w:sz w:val="20"/>
          <w:szCs w:val="20"/>
          <w:color w:val="auto"/>
        </w:rPr>
      </w:pPr>
      <w:r>
        <w:rPr>
          <w:rFonts w:ascii="Times New Roman" w:cs="Times New Roman" w:eastAsia="Times New Roman" w:hAnsi="Times New Roman"/>
          <w:sz w:val="20"/>
          <w:szCs w:val="20"/>
          <w:i w:val="1"/>
          <w:iCs w:val="1"/>
          <w:color w:val="1E1E1E"/>
        </w:rPr>
        <w:t>Product development</w:t>
      </w:r>
      <w:r>
        <w:rPr>
          <w:rFonts w:ascii="Times New Roman" w:cs="Times New Roman" w:eastAsia="Times New Roman" w:hAnsi="Times New Roman"/>
          <w:sz w:val="20"/>
          <w:szCs w:val="20"/>
          <w:color w:val="1E1E1E"/>
        </w:rPr>
        <w:t>. Product development expenses primarily consist of personnel costs such as salaries, bonuses,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1E1E1E"/>
        </w:rPr>
        <w:t>General and administrative</w:t>
      </w:r>
      <w:r>
        <w:rPr>
          <w:rFonts w:ascii="Times New Roman" w:cs="Times New Roman" w:eastAsia="Times New Roman" w:hAnsi="Times New Roman"/>
          <w:sz w:val="20"/>
          <w:szCs w:val="20"/>
          <w:color w:val="1E1E1E"/>
        </w:rPr>
        <w:t>. General and administrative expenses primarily consist of personnel costs such as salaries,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bonuses, stock-based 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 General and administrative costs have increased relative to prior periods due to the incremental costs associated with operating as a public company, including corporate insurance costs, incremental accounting and legal expenses, and additional resources associated with controls, reporting, and disclosure. We have slowed hiring in response to macroeconomic conditions and do not expect to increase it until macroeconomic conditions improve.</w:t>
      </w:r>
    </w:p>
    <w:p>
      <w:pPr>
        <w:spacing w:after="0" w:line="86"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i w:val="1"/>
          <w:iCs w:val="1"/>
          <w:color w:val="1E1E1E"/>
        </w:rPr>
        <w:t>Depreciation and Amortization</w:t>
      </w:r>
      <w:r>
        <w:rPr>
          <w:rFonts w:ascii="Times New Roman" w:cs="Times New Roman" w:eastAsia="Times New Roman" w:hAnsi="Times New Roman"/>
          <w:sz w:val="20"/>
          <w:szCs w:val="20"/>
          <w:color w:val="1E1E1E"/>
        </w:rPr>
        <w:t>. Depreciation and amortization expenses consist primarily of amortization of intangible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assets resulting from 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7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i w:val="1"/>
          <w:iCs w:val="1"/>
          <w:color w:val="1E1E1E"/>
        </w:rPr>
        <w:t>Transaction, integration and restructuring expenses</w:t>
      </w:r>
      <w:r>
        <w:rPr>
          <w:rFonts w:ascii="Times New Roman" w:cs="Times New Roman" w:eastAsia="Times New Roman" w:hAnsi="Times New Roman"/>
          <w:sz w:val="20"/>
          <w:szCs w:val="20"/>
          <w:color w:val="1E1E1E"/>
        </w:rPr>
        <w:t>. Transaction, integration, and restructuring expenses are costs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directly associated with various acquisition and integration activities we have undertaken, primarily accounting and legal due diligence, and consulting and advisory fees, as well as expenses related to our restructuring plans committed to in the first and third quarters of 2023 and our office relocations.</w:t>
      </w:r>
    </w:p>
    <w:p>
      <w:pPr>
        <w:spacing w:after="0" w:line="7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i w:val="1"/>
          <w:iCs w:val="1"/>
          <w:color w:val="1E1E1E"/>
        </w:rPr>
        <w:t>Goodwill impairment</w:t>
      </w:r>
      <w:r>
        <w:rPr>
          <w:rFonts w:ascii="Times New Roman" w:cs="Times New Roman" w:eastAsia="Times New Roman" w:hAnsi="Times New Roman"/>
          <w:sz w:val="20"/>
          <w:szCs w:val="20"/>
          <w:color w:val="1E1E1E"/>
        </w:rPr>
        <w:t>. Goodwill represents the excess of consideration transferred over the fair value of tangible and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identifiable intangible net assets acquired and the liabilities assumed in a business combination. Substantially all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spacing w:after="0" w:line="8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1E1E1E"/>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The Company performed interim goodwill impairment tests during the third quarter of 2023 and concluded that the carrying value of the single reporting unit exceeded its fair value and, accordingly, recorded a $287.4 million non-cash goodwill impairment charge for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 Income, Net</w:t>
      </w:r>
    </w:p>
    <w:p>
      <w:pPr>
        <w:spacing w:after="0" w:line="118" w:lineRule="exact"/>
        <w:rPr>
          <w:sz w:val="20"/>
          <w:szCs w:val="20"/>
          <w:color w:val="auto"/>
        </w:rPr>
      </w:pPr>
    </w:p>
    <w:p>
      <w:pPr>
        <w:ind w:right="460" w:firstLine="490"/>
        <w:spacing w:after="0" w:line="279" w:lineRule="auto"/>
        <w:rPr>
          <w:sz w:val="20"/>
          <w:szCs w:val="20"/>
          <w:color w:val="auto"/>
        </w:rPr>
      </w:pPr>
      <w:r>
        <w:rPr>
          <w:rFonts w:ascii="Times New Roman" w:cs="Times New Roman" w:eastAsia="Times New Roman" w:hAnsi="Times New Roman"/>
          <w:sz w:val="20"/>
          <w:szCs w:val="20"/>
          <w:i w:val="1"/>
          <w:iCs w:val="1"/>
          <w:color w:val="1E1E1E"/>
        </w:rPr>
        <w:t xml:space="preserve">Interest expense </w:t>
      </w:r>
      <w:r>
        <w:rPr>
          <w:rFonts w:ascii="Times New Roman" w:cs="Times New Roman" w:eastAsia="Times New Roman" w:hAnsi="Times New Roman"/>
          <w:sz w:val="20"/>
          <w:szCs w:val="20"/>
          <w:color w:val="1E1E1E"/>
        </w:rPr>
        <w:t>consists of interest expense on our debt obligations and the amortization of debt discounts and debt</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issuance costs.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1E1E1E"/>
        </w:rPr>
        <w:t xml:space="preserve">Interest income </w:t>
      </w:r>
      <w:r>
        <w:rPr>
          <w:rFonts w:ascii="Times New Roman" w:cs="Times New Roman" w:eastAsia="Times New Roman" w:hAnsi="Times New Roman"/>
          <w:sz w:val="20"/>
          <w:szCs w:val="20"/>
          <w:color w:val="1E1E1E"/>
        </w:rPr>
        <w:t>consists of earnings resulting from our short-term investments.</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i w:val="1"/>
          <w:iCs w:val="1"/>
          <w:color w:val="1E1E1E"/>
        </w:rPr>
        <w:t xml:space="preserve">Other income, net </w:t>
      </w:r>
      <w:r>
        <w:rPr>
          <w:rFonts w:ascii="Times New Roman" w:cs="Times New Roman" w:eastAsia="Times New Roman" w:hAnsi="Times New Roman"/>
          <w:sz w:val="20"/>
          <w:szCs w:val="20"/>
          <w:color w:val="1E1E1E"/>
        </w:rPr>
        <w:t>consists primarily of the revaluation of tax receivable agreement liabilities and realized and unrealized</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220"/>
          </w:cols>
          <w:pgMar w:left="820" w:top="806" w:right="84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123"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The discussion of our consolidated results of operations includes year-over-year comparisons of 2023 results compared to those in 2022. For a discussion of the 2022 results compared to those in 2021, see the discussion in Item 7, Management’s Discussion and Analysis of Financial Condition and Results of Operations in our 2022 Form 10-K/A, which is incorporated by reference herein.</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sets forth a summary of our consolidated statements of operations for the periods presented:</w:t>
      </w: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620" w:type="dxa"/>
            <w:vAlign w:val="bottom"/>
            <w:tcBorders>
              <w:bottom w:val="single" w:sz="8" w:color="1E1E1E"/>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80" w:type="dxa"/>
            <w:vAlign w:val="bottom"/>
            <w:tcBorders>
              <w:bottom w:val="single" w:sz="8" w:color="E4E4E4"/>
            </w:tcBorders>
            <w:vMerge w:val="continue"/>
          </w:tcPr>
          <w:p>
            <w:pPr>
              <w:spacing w:after="0"/>
              <w:rPr>
                <w:sz w:val="15"/>
                <w:szCs w:val="15"/>
                <w:color w:val="auto"/>
              </w:rPr>
            </w:pPr>
          </w:p>
        </w:tc>
        <w:tc>
          <w:tcPr>
            <w:tcW w:w="140" w:type="dxa"/>
            <w:vAlign w:val="bottom"/>
            <w:tcBorders>
              <w:bottom w:val="single" w:sz="8" w:color="E4E4E4"/>
            </w:tcBorders>
          </w:tcPr>
          <w:p>
            <w:pPr>
              <w:spacing w:after="0"/>
              <w:rPr>
                <w:sz w:val="15"/>
                <w:szCs w:val="15"/>
                <w:color w:val="auto"/>
              </w:rPr>
            </w:pPr>
          </w:p>
        </w:tc>
        <w:tc>
          <w:tcPr>
            <w:tcW w:w="240" w:type="dxa"/>
            <w:vAlign w:val="bottom"/>
            <w:tcBorders>
              <w:bottom w:val="single" w:sz="8" w:color="1E1E1E"/>
            </w:tcBorders>
          </w:tcPr>
          <w:p>
            <w:pPr>
              <w:spacing w:after="0"/>
              <w:rPr>
                <w:sz w:val="15"/>
                <w:szCs w:val="15"/>
                <w:color w:val="auto"/>
              </w:rPr>
            </w:pPr>
          </w:p>
        </w:tc>
        <w:tc>
          <w:tcPr>
            <w:tcW w:w="840" w:type="dxa"/>
            <w:vAlign w:val="bottom"/>
            <w:tcBorders>
              <w:bottom w:val="single" w:sz="8" w:color="1E1E1E"/>
            </w:tcBorders>
          </w:tcPr>
          <w:p>
            <w:pPr>
              <w:jc w:val="right"/>
              <w:ind w:right="282"/>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bottom w:val="single" w:sz="8" w:color="E4E4E4"/>
            </w:tcBorders>
          </w:tcPr>
          <w:p>
            <w:pPr>
              <w:spacing w:after="0"/>
              <w:rPr>
                <w:sz w:val="15"/>
                <w:szCs w:val="15"/>
                <w:color w:val="auto"/>
              </w:rPr>
            </w:pPr>
          </w:p>
        </w:tc>
        <w:tc>
          <w:tcPr>
            <w:tcW w:w="240" w:type="dxa"/>
            <w:vAlign w:val="bottom"/>
            <w:tcBorders>
              <w:bottom w:val="single" w:sz="8" w:color="1E1E1E"/>
            </w:tcBorders>
          </w:tcPr>
          <w:p>
            <w:pPr>
              <w:spacing w:after="0"/>
              <w:rPr>
                <w:sz w:val="15"/>
                <w:szCs w:val="15"/>
                <w:color w:val="auto"/>
              </w:rPr>
            </w:pPr>
          </w:p>
        </w:tc>
        <w:tc>
          <w:tcPr>
            <w:tcW w:w="840" w:type="dxa"/>
            <w:vAlign w:val="bottom"/>
            <w:tcBorders>
              <w:bottom w:val="single" w:sz="8" w:color="1E1E1E"/>
            </w:tcBorders>
          </w:tcPr>
          <w:p>
            <w:pPr>
              <w:jc w:val="right"/>
              <w:ind w:right="281"/>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2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840" w:type="dxa"/>
            <w:vAlign w:val="bottom"/>
            <w:tcBorders>
              <w:bottom w:val="single" w:sz="8" w:color="1E1E1E"/>
            </w:tcBorders>
          </w:tcPr>
          <w:p>
            <w:pPr>
              <w:jc w:val="right"/>
              <w:ind w:right="281"/>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Revenue</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4E4E4"/>
              </w:rPr>
              <w:t>251,415</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4E4E4"/>
              </w:rPr>
              <w:t>222,653</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4E4E4"/>
              </w:rPr>
              <w:t>166,154</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Cost of revenue</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34,740</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25,866</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19,421</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Amortization</w:t>
            </w:r>
          </w:p>
        </w:tc>
        <w:tc>
          <w:tcPr>
            <w:tcW w:w="140" w:type="dxa"/>
            <w:vAlign w:val="bottom"/>
            <w:tcBorders>
              <w:bottom w:val="single" w:sz="8" w:color="E4E4E4"/>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12,742</w:t>
            </w:r>
          </w:p>
        </w:tc>
        <w:tc>
          <w:tcPr>
            <w:tcW w:w="220" w:type="dxa"/>
            <w:vAlign w:val="bottom"/>
            <w:tcBorders>
              <w:bottom w:val="single" w:sz="8" w:color="E4E4E4"/>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16,759</w:t>
            </w:r>
          </w:p>
        </w:tc>
        <w:tc>
          <w:tcPr>
            <w:tcW w:w="22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21,268</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cost of revenue</w:t>
            </w:r>
          </w:p>
        </w:tc>
        <w:tc>
          <w:tcPr>
            <w:tcW w:w="14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47,482</w:t>
            </w:r>
          </w:p>
        </w:tc>
        <w:tc>
          <w:tcPr>
            <w:tcW w:w="22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42,625</w:t>
            </w:r>
          </w:p>
        </w:tc>
        <w:tc>
          <w:tcPr>
            <w:tcW w:w="220" w:type="dxa"/>
            <w:vAlign w:val="bottom"/>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40,689</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600"/>
              <w:spacing w:after="0" w:line="220" w:lineRule="exact"/>
              <w:rPr>
                <w:sz w:val="20"/>
                <w:szCs w:val="20"/>
                <w:color w:val="auto"/>
              </w:rPr>
            </w:pPr>
            <w:r>
              <w:rPr>
                <w:rFonts w:ascii="Times New Roman" w:cs="Times New Roman" w:eastAsia="Times New Roman" w:hAnsi="Times New Roman"/>
                <w:sz w:val="20"/>
                <w:szCs w:val="20"/>
                <w:color w:val="1E1E1E"/>
              </w:rPr>
              <w:t>Gross profit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203,933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180,028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125,465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Operating expenses:</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Sales and marketing</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94,534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89,585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56,387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Product development</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42,441</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34,890</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18,565</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58,861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51,561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39,008</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40,145</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38,679</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Transaction, integration and restructuring expenses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11,489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Goodwill impairment</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287,400</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20"/>
        </w:trPr>
        <w:tc>
          <w:tcPr>
            <w:tcW w:w="5280" w:type="dxa"/>
            <w:vAlign w:val="bottom"/>
            <w:tcBorders>
              <w:bottom w:val="single" w:sz="8" w:color="E4E4E4"/>
            </w:tcBorders>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operating expenses</w:t>
            </w:r>
          </w:p>
        </w:tc>
        <w:tc>
          <w:tcPr>
            <w:tcW w:w="140" w:type="dxa"/>
            <w:vAlign w:val="bottom"/>
            <w:tcBorders>
              <w:bottom w:val="single" w:sz="8" w:color="E4E4E4"/>
            </w:tcBorders>
          </w:tcPr>
          <w:p>
            <w:pPr>
              <w:spacing w:after="0"/>
              <w:rPr>
                <w:sz w:val="19"/>
                <w:szCs w:val="19"/>
                <w:color w:val="auto"/>
              </w:rPr>
            </w:pPr>
          </w:p>
        </w:tc>
        <w:tc>
          <w:tcPr>
            <w:tcW w:w="240" w:type="dxa"/>
            <w:vAlign w:val="bottom"/>
            <w:tcBorders>
              <w:top w:val="single" w:sz="8" w:color="1E1E1E"/>
              <w:bottom w:val="single" w:sz="8" w:color="1E1E1E"/>
            </w:tcBorders>
          </w:tcPr>
          <w:p>
            <w:pPr>
              <w:spacing w:after="0"/>
              <w:rPr>
                <w:sz w:val="19"/>
                <w:szCs w:val="19"/>
                <w:color w:val="auto"/>
              </w:rPr>
            </w:pPr>
          </w:p>
        </w:tc>
        <w:tc>
          <w:tcPr>
            <w:tcW w:w="8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533,733</w:t>
            </w:r>
          </w:p>
        </w:tc>
        <w:tc>
          <w:tcPr>
            <w:tcW w:w="220" w:type="dxa"/>
            <w:vAlign w:val="bottom"/>
            <w:tcBorders>
              <w:bottom w:val="single" w:sz="8" w:color="E4E4E4"/>
            </w:tcBorders>
          </w:tcPr>
          <w:p>
            <w:pPr>
              <w:spacing w:after="0"/>
              <w:rPr>
                <w:sz w:val="19"/>
                <w:szCs w:val="19"/>
                <w:color w:val="auto"/>
              </w:rPr>
            </w:pPr>
          </w:p>
        </w:tc>
        <w:tc>
          <w:tcPr>
            <w:tcW w:w="240" w:type="dxa"/>
            <w:vAlign w:val="bottom"/>
            <w:tcBorders>
              <w:top w:val="single" w:sz="8" w:color="1E1E1E"/>
              <w:bottom w:val="single" w:sz="8" w:color="1E1E1E"/>
            </w:tcBorders>
          </w:tcPr>
          <w:p>
            <w:pPr>
              <w:spacing w:after="0"/>
              <w:rPr>
                <w:sz w:val="19"/>
                <w:szCs w:val="19"/>
                <w:color w:val="auto"/>
              </w:rPr>
            </w:pPr>
          </w:p>
        </w:tc>
        <w:tc>
          <w:tcPr>
            <w:tcW w:w="8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224,071</w:t>
            </w:r>
          </w:p>
        </w:tc>
        <w:tc>
          <w:tcPr>
            <w:tcW w:w="220" w:type="dxa"/>
            <w:vAlign w:val="bottom"/>
            <w:tcBorders>
              <w:bottom w:val="single" w:sz="8" w:color="E4E4E4"/>
            </w:tcBorders>
          </w:tcPr>
          <w:p>
            <w:pPr>
              <w:spacing w:after="0"/>
              <w:rPr>
                <w:sz w:val="19"/>
                <w:szCs w:val="19"/>
                <w:color w:val="auto"/>
              </w:rPr>
            </w:pPr>
          </w:p>
        </w:tc>
        <w:tc>
          <w:tcPr>
            <w:tcW w:w="260" w:type="dxa"/>
            <w:vAlign w:val="bottom"/>
            <w:tcBorders>
              <w:top w:val="single" w:sz="8" w:color="1E1E1E"/>
              <w:bottom w:val="single" w:sz="8" w:color="1E1E1E"/>
            </w:tcBorders>
          </w:tcPr>
          <w:p>
            <w:pPr>
              <w:spacing w:after="0"/>
              <w:rPr>
                <w:sz w:val="19"/>
                <w:szCs w:val="19"/>
                <w:color w:val="auto"/>
              </w:rPr>
            </w:pPr>
          </w:p>
        </w:tc>
        <w:tc>
          <w:tcPr>
            <w:tcW w:w="8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152,782</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E4E4E4"/>
          </w:tcPr>
          <w:p>
            <w:pPr>
              <w:ind w:left="600"/>
              <w:spacing w:after="0" w:line="220" w:lineRule="exact"/>
              <w:rPr>
                <w:sz w:val="20"/>
                <w:szCs w:val="20"/>
                <w:color w:val="auto"/>
              </w:rPr>
            </w:pPr>
            <w:r>
              <w:rPr>
                <w:rFonts w:ascii="Times New Roman" w:cs="Times New Roman" w:eastAsia="Times New Roman" w:hAnsi="Times New Roman"/>
                <w:sz w:val="20"/>
                <w:szCs w:val="20"/>
                <w:color w:val="1E1E1E"/>
              </w:rPr>
              <w:t>Loss from operations</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(329,800)</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(44,043)</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(27,317)</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Total other income (expense), net</w:t>
            </w:r>
          </w:p>
        </w:tc>
        <w:tc>
          <w:tcPr>
            <w:tcW w:w="140" w:type="dxa"/>
            <w:vAlign w:val="bottom"/>
            <w:tcBorders>
              <w:bottom w:val="single" w:sz="8" w:color="E4E4E4"/>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21,620</w:t>
            </w:r>
          </w:p>
        </w:tc>
        <w:tc>
          <w:tcPr>
            <w:tcW w:w="220" w:type="dxa"/>
            <w:vAlign w:val="bottom"/>
            <w:tcBorders>
              <w:bottom w:val="single" w:sz="8" w:color="E4E4E4"/>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2,166</w:t>
            </w:r>
          </w:p>
        </w:tc>
        <w:tc>
          <w:tcPr>
            <w:tcW w:w="22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(35,450)</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E4E4E4"/>
          </w:tcPr>
          <w:p>
            <w:pPr>
              <w:ind w:left="600"/>
              <w:spacing w:after="0" w:line="220" w:lineRule="exact"/>
              <w:rPr>
                <w:sz w:val="20"/>
                <w:szCs w:val="20"/>
                <w:color w:val="auto"/>
              </w:rPr>
            </w:pPr>
            <w:r>
              <w:rPr>
                <w:rFonts w:ascii="Times New Roman" w:cs="Times New Roman" w:eastAsia="Times New Roman" w:hAnsi="Times New Roman"/>
                <w:sz w:val="20"/>
                <w:szCs w:val="20"/>
                <w:color w:val="1E1E1E"/>
              </w:rPr>
              <w:t>Loss before income taxes</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(308,180)</w:t>
            </w:r>
          </w:p>
        </w:tc>
        <w:tc>
          <w:tcPr>
            <w:tcW w:w="2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(41,877)</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(62,767)</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20"/>
                <w:szCs w:val="20"/>
                <w:color w:val="1E1E1E"/>
              </w:rPr>
              <w:t>Benefit from income taxes</w:t>
            </w:r>
          </w:p>
        </w:tc>
        <w:tc>
          <w:tcPr>
            <w:tcW w:w="140" w:type="dxa"/>
            <w:vAlign w:val="bottom"/>
            <w:tcBorders>
              <w:bottom w:val="single" w:sz="8" w:color="E4E4E4"/>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18,553</w:t>
            </w:r>
          </w:p>
        </w:tc>
        <w:tc>
          <w:tcPr>
            <w:tcW w:w="220" w:type="dxa"/>
            <w:vAlign w:val="bottom"/>
            <w:tcBorders>
              <w:bottom w:val="single" w:sz="8" w:color="E4E4E4"/>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17,698</w:t>
            </w:r>
          </w:p>
        </w:tc>
        <w:tc>
          <w:tcPr>
            <w:tcW w:w="22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443</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E4E4E4"/>
          </w:tcPr>
          <w:p>
            <w:pPr>
              <w:ind w:left="600"/>
              <w:spacing w:after="0" w:line="220" w:lineRule="exact"/>
              <w:rPr>
                <w:sz w:val="20"/>
                <w:szCs w:val="20"/>
                <w:color w:val="auto"/>
              </w:rPr>
            </w:pPr>
            <w:r>
              <w:rPr>
                <w:rFonts w:ascii="Times New Roman" w:cs="Times New Roman" w:eastAsia="Times New Roman" w:hAnsi="Times New Roman"/>
                <w:sz w:val="20"/>
                <w:szCs w:val="20"/>
                <w:color w:val="1E1E1E"/>
              </w:rPr>
              <w:t>Net loss</w:t>
            </w:r>
          </w:p>
        </w:tc>
        <w:tc>
          <w:tcPr>
            <w:tcW w:w="14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(289,627)</w:t>
            </w:r>
          </w:p>
        </w:tc>
        <w:tc>
          <w:tcPr>
            <w:tcW w:w="22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(24,179)</w:t>
            </w:r>
          </w:p>
        </w:tc>
        <w:tc>
          <w:tcPr>
            <w:tcW w:w="220" w:type="dxa"/>
            <w:vAlign w:val="bottom"/>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(62,324)</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280" w:type="dxa"/>
            <w:vAlign w:val="bottom"/>
          </w:tcPr>
          <w:p>
            <w:pPr>
              <w:ind w:left="200"/>
              <w:spacing w:after="0" w:line="199" w:lineRule="exact"/>
              <w:rPr>
                <w:sz w:val="20"/>
                <w:szCs w:val="20"/>
                <w:color w:val="auto"/>
              </w:rPr>
            </w:pPr>
            <w:r>
              <w:rPr>
                <w:rFonts w:ascii="Times New Roman" w:cs="Times New Roman" w:eastAsia="Times New Roman" w:hAnsi="Times New Roman"/>
                <w:sz w:val="20"/>
                <w:szCs w:val="20"/>
                <w:color w:val="1E1E1E"/>
              </w:rPr>
              <w:t>Less: Net loss attributable to Definitive OpCo prior to the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1E1E1E"/>
              </w:rPr>
              <w:t>(34,068)</w:t>
            </w:r>
          </w:p>
        </w:tc>
        <w:tc>
          <w:tcPr>
            <w:tcW w:w="0" w:type="dxa"/>
            <w:vAlign w:val="bottom"/>
          </w:tcPr>
          <w:p>
            <w:pPr>
              <w:spacing w:after="0"/>
              <w:rPr>
                <w:sz w:val="1"/>
                <w:szCs w:val="1"/>
                <w:color w:val="auto"/>
              </w:rPr>
            </w:pPr>
          </w:p>
        </w:tc>
      </w:tr>
      <w:tr>
        <w:trPr>
          <w:trHeight w:val="153"/>
        </w:trPr>
        <w:tc>
          <w:tcPr>
            <w:tcW w:w="52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1E1E1E"/>
              </w:rPr>
              <w:t>Reorganization Transactions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2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Less: Net loss attributable to noncontrolling interests</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(87,239)</w:t>
            </w:r>
          </w:p>
        </w:tc>
        <w:tc>
          <w:tcPr>
            <w:tcW w:w="24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(16,957)</w:t>
            </w:r>
          </w:p>
        </w:tc>
        <w:tc>
          <w:tcPr>
            <w:tcW w:w="26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(10,416)</w:t>
            </w:r>
          </w:p>
        </w:tc>
        <w:tc>
          <w:tcPr>
            <w:tcW w:w="0" w:type="dxa"/>
            <w:vAlign w:val="bottom"/>
          </w:tcPr>
          <w:p>
            <w:pPr>
              <w:spacing w:after="0"/>
              <w:rPr>
                <w:sz w:val="1"/>
                <w:szCs w:val="1"/>
                <w:color w:val="auto"/>
              </w:rPr>
            </w:pPr>
          </w:p>
        </w:tc>
      </w:tr>
      <w:tr>
        <w:trPr>
          <w:trHeight w:val="220"/>
        </w:trPr>
        <w:tc>
          <w:tcPr>
            <w:tcW w:w="5280" w:type="dxa"/>
            <w:vAlign w:val="bottom"/>
          </w:tcPr>
          <w:p>
            <w:pPr>
              <w:ind w:left="600"/>
              <w:spacing w:after="0" w:line="220" w:lineRule="exact"/>
              <w:rPr>
                <w:sz w:val="20"/>
                <w:szCs w:val="20"/>
                <w:color w:val="auto"/>
              </w:rPr>
            </w:pPr>
            <w:r>
              <w:rPr>
                <w:rFonts w:ascii="Times New Roman" w:cs="Times New Roman" w:eastAsia="Times New Roman" w:hAnsi="Times New Roman"/>
                <w:sz w:val="20"/>
                <w:szCs w:val="20"/>
                <w:color w:val="1E1E1E"/>
              </w:rPr>
              <w:t>Net loss attributable to Definitive Healthcare Corp.</w:t>
            </w:r>
          </w:p>
        </w:tc>
        <w:tc>
          <w:tcPr>
            <w:tcW w:w="140" w:type="dxa"/>
            <w:vAlign w:val="bottom"/>
          </w:tcPr>
          <w:p>
            <w:pPr>
              <w:spacing w:after="0"/>
              <w:rPr>
                <w:sz w:val="19"/>
                <w:szCs w:val="19"/>
                <w:color w:val="auto"/>
              </w:rPr>
            </w:pPr>
          </w:p>
        </w:tc>
        <w:tc>
          <w:tcPr>
            <w:tcW w:w="240" w:type="dxa"/>
            <w:vAlign w:val="bottom"/>
            <w:tcBorders>
              <w:top w:val="single" w:sz="8" w:color="1E1E1E"/>
              <w:bottom w:val="single" w:sz="8" w:color="1E1E1E"/>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(202,388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1E1E1E"/>
                <w:w w:val="74"/>
              </w:rPr>
              <w:t>)</w:t>
            </w:r>
          </w:p>
        </w:tc>
        <w:tc>
          <w:tcPr>
            <w:tcW w:w="240" w:type="dxa"/>
            <w:vAlign w:val="bottom"/>
            <w:tcBorders>
              <w:top w:val="single" w:sz="8" w:color="1E1E1E"/>
              <w:bottom w:val="single" w:sz="8" w:color="1E1E1E"/>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(7,222)</w:t>
            </w:r>
          </w:p>
        </w:tc>
        <w:tc>
          <w:tcPr>
            <w:tcW w:w="220" w:type="dxa"/>
            <w:vAlign w:val="bottom"/>
          </w:tcPr>
          <w:p>
            <w:pPr>
              <w:spacing w:after="0"/>
              <w:rPr>
                <w:sz w:val="19"/>
                <w:szCs w:val="19"/>
                <w:color w:val="auto"/>
              </w:rPr>
            </w:pPr>
          </w:p>
        </w:tc>
        <w:tc>
          <w:tcPr>
            <w:tcW w:w="260" w:type="dxa"/>
            <w:vAlign w:val="bottom"/>
            <w:tcBorders>
              <w:top w:val="single" w:sz="8" w:color="1E1E1E"/>
              <w:bottom w:val="single" w:sz="8" w:color="1E1E1E"/>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(17,840)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Year Ended December 31, 2023 compared to Year Ended December 31, 2022</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1E1E1E"/>
        </w:rPr>
        <w:t>Revenue</w:t>
      </w:r>
    </w:p>
    <w:p>
      <w:pPr>
        <w:spacing w:after="0" w:line="123"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Revenue increased $28.8 million, or 13%, for the year ended December 31, 2023 compared with the same period in the prior year, resulting from higher subscription revenue of $ 26.0 million and higher professional service revenue of $2.7 million. Increases were primarily driven by the organic addition of new customers in the amount of $12.9 million, the acquisition of Populi in the amount of $4.9 million, and a $11.0 million net increase in revenue from customers that existed as of the end of the comparable prior-year period.</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1E1E1E"/>
        </w:rPr>
        <w:t>Cost of Revenue</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Cost of revenue increased $4.9 million, or 11%, for the year ended December 31, 2023 compared with the same period in the prior year. This increase was driven primarily by a $7.9 million increase in hosting fees and data subscription costs as a result of expanded customer usage of our platform, the rollout of additional third-party data sources to our customers at the beginning of 2023, and the Populi acquisition, along with an increase of $0.8 million in employee and other costs driven primarily by the expansion of customer support and professional service roles that support our revenue growth. These increases were partially offset by a net $4.0 million reduction in amortization, primarily due to a substantial acquired data asset reaching the end of its economic life in July 2022, partially offset by the amortization of new data assets commencing in 2023.</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10220"/>
          </w:cols>
          <w:pgMar w:left="820" w:top="803" w:right="840" w:bottom="0" w:gutter="0" w:footer="0" w:header="0"/>
          <w:type w:val="continuous"/>
        </w:sectPr>
      </w:pPr>
    </w:p>
    <w:bookmarkStart w:id="63" w:name="page64"/>
    <w:bookmarkEnd w:id="63"/>
    <w:p>
      <w:pPr>
        <w:ind w:left="500"/>
        <w:spacing w:after="0"/>
        <w:rPr>
          <w:sz w:val="20"/>
          <w:szCs w:val="20"/>
          <w:color w:val="auto"/>
        </w:rPr>
      </w:pPr>
      <w:r>
        <w:rPr>
          <w:rFonts w:ascii="Times New Roman" w:cs="Times New Roman" w:eastAsia="Times New Roman" w:hAnsi="Times New Roman"/>
          <w:sz w:val="20"/>
          <w:szCs w:val="20"/>
          <w:b w:val="1"/>
          <w:bCs w:val="1"/>
          <w:color w:val="1E1E1E"/>
        </w:rPr>
        <w:t>Operating Expenses</w:t>
      </w:r>
    </w:p>
    <w:p>
      <w:pPr>
        <w:spacing w:after="0" w:line="123"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 xml:space="preserve">Operating expenses, which include a goodwill impairment charge of $287.4 million recorded during the third quarter of 2023 (refer to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 xml:space="preserve"> in the accompanying consolidated financial statements for further details), increased $309.7 million, or 138%, for the year ended December 31, 2023 compared with the same period in the prior year. Excluding the goodwill impairment charge, the net increase to operating expenses was primarily due to:</w:t>
      </w:r>
    </w:p>
    <w:p>
      <w:pPr>
        <w:spacing w:after="0" w:line="85" w:lineRule="exact"/>
        <w:rPr>
          <w:sz w:val="20"/>
          <w:szCs w:val="20"/>
          <w:color w:val="auto"/>
        </w:rPr>
      </w:pPr>
    </w:p>
    <w:p>
      <w:pPr>
        <w:ind w:left="980" w:hanging="483"/>
        <w:spacing w:after="0" w:line="252"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An increase in sales and marketing expense of $4.9 million for the year ended December 31, 2023, primarily due to increased personnel costs resulting from additional hiring and compensation driven by increased sales volume, partially offset by a decrease in stock-based compensation expense primarily due to key role transitions occurring during the comparable prior year period;</w:t>
      </w:r>
    </w:p>
    <w:p>
      <w:pPr>
        <w:spacing w:after="0" w:line="87" w:lineRule="exact"/>
        <w:rPr>
          <w:rFonts w:ascii="Arial" w:cs="Arial" w:eastAsia="Arial" w:hAnsi="Arial"/>
          <w:sz w:val="20"/>
          <w:szCs w:val="20"/>
          <w:color w:val="1E1E1E"/>
        </w:rPr>
      </w:pPr>
    </w:p>
    <w:p>
      <w:pPr>
        <w:jc w:val="both"/>
        <w:ind w:left="980" w:right="100" w:hanging="483"/>
        <w:spacing w:after="0" w:line="259"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An increase in product development expense of $7.6 million for the year ended December 31, 2023, primarily due to increased personnel costs, including stock-based compensation expense from new equity grants, resulting from additional hiring and the acquisition of Populi;</w:t>
      </w:r>
    </w:p>
    <w:p>
      <w:pPr>
        <w:spacing w:after="0" w:line="78" w:lineRule="exact"/>
        <w:rPr>
          <w:rFonts w:ascii="Arial" w:cs="Arial" w:eastAsia="Arial" w:hAnsi="Arial"/>
          <w:sz w:val="20"/>
          <w:szCs w:val="20"/>
          <w:color w:val="1E1E1E"/>
        </w:rPr>
      </w:pPr>
    </w:p>
    <w:p>
      <w:pPr>
        <w:ind w:left="980" w:hanging="483"/>
        <w:spacing w:after="0" w:line="245"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An increase in general and administrative expense of $7.3 million for the year ended December 31, 2023, primarily due to increased stock-based compensation expense resulting from new equity grants in the current year and key role transitions occurring during the comparable prior year period, increased professional service fees resulting from the filing delay and restatement of our previously issued financial statements and for strategic consulting services associated with commercial and operational reorganization initiatives, along with increased legal costs. These increases were partially offset by savings resulting from lower franchise taxes and relief from sales tax exposure, including penalties and interest, resulting from voluntary disclosure agreements, new insurance policies, and lower rent expense due to the exit of certain office facilities;</w:t>
      </w:r>
    </w:p>
    <w:p>
      <w:pPr>
        <w:spacing w:after="0" w:line="95" w:lineRule="exact"/>
        <w:rPr>
          <w:rFonts w:ascii="Arial" w:cs="Arial" w:eastAsia="Arial" w:hAnsi="Arial"/>
          <w:sz w:val="20"/>
          <w:szCs w:val="20"/>
          <w:color w:val="1E1E1E"/>
        </w:rPr>
      </w:pPr>
    </w:p>
    <w:p>
      <w:pPr>
        <w:ind w:left="980" w:right="300" w:hanging="483"/>
        <w:spacing w:after="0" w:line="259"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A decrease in depreciation and amortization expense of $1.1 million for the year ended December 31, 2023, primarily due to the full amortization of a significant database intangible asset during the comparable prior year period; and</w:t>
      </w:r>
    </w:p>
    <w:p>
      <w:pPr>
        <w:spacing w:after="0" w:line="78" w:lineRule="exact"/>
        <w:rPr>
          <w:rFonts w:ascii="Arial" w:cs="Arial" w:eastAsia="Arial" w:hAnsi="Arial"/>
          <w:sz w:val="20"/>
          <w:szCs w:val="20"/>
          <w:color w:val="1E1E1E"/>
        </w:rPr>
      </w:pPr>
    </w:p>
    <w:p>
      <w:pPr>
        <w:ind w:left="980" w:right="80" w:hanging="483"/>
        <w:spacing w:after="0" w:line="252" w:lineRule="auto"/>
        <w:tabs>
          <w:tab w:leader="none" w:pos="980" w:val="left"/>
        </w:tabs>
        <w:numPr>
          <w:ilvl w:val="0"/>
          <w:numId w:val="22"/>
        </w:numPr>
        <w:rPr>
          <w:rFonts w:ascii="Arial" w:cs="Arial" w:eastAsia="Arial" w:hAnsi="Arial"/>
          <w:sz w:val="20"/>
          <w:szCs w:val="20"/>
          <w:color w:val="1E1E1E"/>
        </w:rPr>
      </w:pPr>
      <w:r>
        <w:rPr>
          <w:rFonts w:ascii="Times New Roman" w:cs="Times New Roman" w:eastAsia="Times New Roman" w:hAnsi="Times New Roman"/>
          <w:sz w:val="20"/>
          <w:szCs w:val="20"/>
          <w:color w:val="1E1E1E"/>
        </w:rPr>
        <w:t>An increase in transaction, integration and restructuring expenses of $3.6 million for the year ended December 31, 2023, due primarily to costs associated with restructuring plans announced in the first and third quarters of 2023 and the acquisition of Populi. These expenses were partially offset by a decrease in expenses resulting from a go-to-market integration project conducted in the third quarter of 2022 that did not repeat in 2023.</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1E1E1E"/>
        </w:rPr>
        <w:t>Other Income, Net</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Total other income, net was $21.6 million for the year ended December 31, 2023 compared to total other income, net of $2.2 million in the same period in the prior year. The overall increase was primarily attributed to a $13.8 million increase in the TRA liability remeasurement gain driven by future realizability of tax attributes payable under the TRA and the impact of the goodwill impairment on the TRA and a $10.9 million increase in interest income earned from our short-term investments, partially offset by a $1.2 million change in foreign currency gains and losses and a $4.0 million increase in interest expense due to high interest rates from our debt obligations.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1E1E1E"/>
        </w:rPr>
        <w:t>Benefit From Income Taxes</w:t>
      </w:r>
    </w:p>
    <w:p>
      <w:pPr>
        <w:spacing w:after="0" w:line="123"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1E1E1E"/>
        </w:rPr>
        <w:t>Benefit from income taxes for the year ended December 31, 2023 was $18.6 million compared to $17.7 million in the same period in the prior year. The overall increase was primarily driven by increased losses of the partnership allocated to the Company.</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220"/>
          </w:cols>
          <w:pgMar w:left="820" w:top="803" w:right="84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1E1E1E"/>
        </w:rPr>
        <w:t>Non-GAAP Financial Measures</w:t>
      </w:r>
    </w:p>
    <w:p>
      <w:pPr>
        <w:spacing w:after="0" w:line="123"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1E1E1E"/>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8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w:t>
      </w:r>
    </w:p>
    <w:p>
      <w:pPr>
        <w:spacing w:after="0" w:line="7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Adjusted Gross Profit and Adjusted Gross Margin</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U.S.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w:t>
      </w:r>
    </w:p>
    <w:p>
      <w:pPr>
        <w:spacing w:after="0" w:line="80"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1E1E1E"/>
        </w:rPr>
        <w:t>The following table presents a reconciliation of gross profit and gross margin to adjusted gross profit and adjusted gross margin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64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680" w:type="dxa"/>
            <w:vAlign w:val="bottom"/>
            <w:tcBorders>
              <w:bottom w:val="single" w:sz="8" w:color="1E1E1E"/>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2020" w:type="dxa"/>
            <w:vAlign w:val="bottom"/>
            <w:tcBorders>
              <w:bottom w:val="single" w:sz="8" w:color="1E1E1E"/>
            </w:tcBorders>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760" w:type="dxa"/>
            <w:vAlign w:val="bottom"/>
            <w:tcBorders>
              <w:bottom w:val="single" w:sz="8" w:color="1E1E1E"/>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680" w:type="dxa"/>
            <w:vAlign w:val="bottom"/>
            <w:tcBorders>
              <w:bottom w:val="single" w:sz="8" w:color="1E1E1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1020" w:type="dxa"/>
            <w:vAlign w:val="bottom"/>
            <w:gridSpan w:val="4"/>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4"/>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100" w:type="dxa"/>
            <w:vAlign w:val="bottom"/>
            <w:tcBorders>
              <w:top w:val="single" w:sz="8" w:color="1E1E1E"/>
            </w:tcBorders>
          </w:tcPr>
          <w:p>
            <w:pPr>
              <w:spacing w:after="0"/>
              <w:rPr>
                <w:sz w:val="13"/>
                <w:szCs w:val="13"/>
                <w:color w:val="auto"/>
              </w:rPr>
            </w:pPr>
          </w:p>
        </w:tc>
        <w:tc>
          <w:tcPr>
            <w:tcW w:w="640" w:type="dxa"/>
            <w:vAlign w:val="bottom"/>
            <w:tcBorders>
              <w:top w:val="single" w:sz="8" w:color="1E1E1E"/>
            </w:tcBorders>
          </w:tcPr>
          <w:p>
            <w:pPr>
              <w:spacing w:after="0"/>
              <w:rPr>
                <w:sz w:val="13"/>
                <w:szCs w:val="13"/>
                <w:color w:val="auto"/>
              </w:rPr>
            </w:pPr>
          </w:p>
        </w:tc>
        <w:tc>
          <w:tcPr>
            <w:tcW w:w="200" w:type="dxa"/>
            <w:vAlign w:val="bottom"/>
            <w:tcBorders>
              <w:top w:val="single" w:sz="8" w:color="1E1E1E"/>
            </w:tcBorders>
          </w:tcPr>
          <w:p>
            <w:pPr>
              <w:spacing w:after="0"/>
              <w:rPr>
                <w:sz w:val="13"/>
                <w:szCs w:val="13"/>
                <w:color w:val="auto"/>
              </w:rPr>
            </w:pPr>
          </w:p>
        </w:tc>
        <w:tc>
          <w:tcPr>
            <w:tcW w:w="80" w:type="dxa"/>
            <w:vAlign w:val="bottom"/>
            <w:tcBorders>
              <w:top w:val="single" w:sz="8" w:color="1E1E1E"/>
            </w:tcBorders>
          </w:tcPr>
          <w:p>
            <w:pPr>
              <w:spacing w:after="0"/>
              <w:rPr>
                <w:sz w:val="13"/>
                <w:szCs w:val="13"/>
                <w:color w:val="auto"/>
              </w:rPr>
            </w:pPr>
          </w:p>
        </w:tc>
        <w:tc>
          <w:tcPr>
            <w:tcW w:w="680" w:type="dxa"/>
            <w:vAlign w:val="bottom"/>
            <w:tcBorders>
              <w:top w:val="single" w:sz="8" w:color="1E1E1E"/>
            </w:tcBorders>
          </w:tcPr>
          <w:p>
            <w:pPr>
              <w:jc w:val="center"/>
              <w:ind w:right="7"/>
              <w:spacing w:after="0" w:line="155" w:lineRule="exact"/>
              <w:rPr>
                <w:sz w:val="20"/>
                <w:szCs w:val="20"/>
                <w:color w:val="auto"/>
              </w:rPr>
            </w:pPr>
            <w:r>
              <w:rPr>
                <w:rFonts w:ascii="Times New Roman" w:cs="Times New Roman" w:eastAsia="Times New Roman" w:hAnsi="Times New Roman"/>
                <w:sz w:val="16"/>
                <w:szCs w:val="16"/>
                <w:b w:val="1"/>
                <w:bCs w:val="1"/>
                <w:color w:val="1E1E1E"/>
              </w:rPr>
              <w:t>% of</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1E1E1E"/>
            </w:tcBorders>
          </w:tcPr>
          <w:p>
            <w:pPr>
              <w:spacing w:after="0"/>
              <w:rPr>
                <w:sz w:val="13"/>
                <w:szCs w:val="13"/>
                <w:color w:val="auto"/>
              </w:rPr>
            </w:pPr>
          </w:p>
        </w:tc>
        <w:tc>
          <w:tcPr>
            <w:tcW w:w="180" w:type="dxa"/>
            <w:vAlign w:val="bottom"/>
            <w:tcBorders>
              <w:top w:val="single" w:sz="8" w:color="1E1E1E"/>
            </w:tcBorders>
          </w:tcPr>
          <w:p>
            <w:pPr>
              <w:spacing w:after="0"/>
              <w:rPr>
                <w:sz w:val="13"/>
                <w:szCs w:val="13"/>
                <w:color w:val="auto"/>
              </w:rPr>
            </w:pPr>
          </w:p>
        </w:tc>
        <w:tc>
          <w:tcPr>
            <w:tcW w:w="80" w:type="dxa"/>
            <w:vAlign w:val="bottom"/>
            <w:tcBorders>
              <w:top w:val="single" w:sz="8" w:color="1E1E1E"/>
            </w:tcBorders>
          </w:tcPr>
          <w:p>
            <w:pPr>
              <w:spacing w:after="0"/>
              <w:rPr>
                <w:sz w:val="13"/>
                <w:szCs w:val="13"/>
                <w:color w:val="auto"/>
              </w:rPr>
            </w:pPr>
          </w:p>
        </w:tc>
        <w:tc>
          <w:tcPr>
            <w:tcW w:w="680" w:type="dxa"/>
            <w:vAlign w:val="bottom"/>
            <w:tcBorders>
              <w:top w:val="single" w:sz="8" w:color="1E1E1E"/>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1E1E1E"/>
              </w:rPr>
              <w:t>% of</w:t>
            </w:r>
          </w:p>
        </w:tc>
        <w:tc>
          <w:tcPr>
            <w:tcW w:w="260" w:type="dxa"/>
            <w:vAlign w:val="bottom"/>
          </w:tcPr>
          <w:p>
            <w:pPr>
              <w:spacing w:after="0"/>
              <w:rPr>
                <w:sz w:val="13"/>
                <w:szCs w:val="13"/>
                <w:color w:val="auto"/>
              </w:rPr>
            </w:pPr>
          </w:p>
        </w:tc>
        <w:tc>
          <w:tcPr>
            <w:tcW w:w="760" w:type="dxa"/>
            <w:vAlign w:val="bottom"/>
            <w:tcBorders>
              <w:top w:val="single" w:sz="8" w:color="1E1E1E"/>
            </w:tcBorders>
          </w:tcPr>
          <w:p>
            <w:pPr>
              <w:spacing w:after="0"/>
              <w:rPr>
                <w:sz w:val="13"/>
                <w:szCs w:val="13"/>
                <w:color w:val="auto"/>
              </w:rPr>
            </w:pPr>
          </w:p>
        </w:tc>
        <w:tc>
          <w:tcPr>
            <w:tcW w:w="180" w:type="dxa"/>
            <w:vAlign w:val="bottom"/>
            <w:tcBorders>
              <w:top w:val="single" w:sz="8" w:color="1E1E1E"/>
            </w:tcBorders>
          </w:tcPr>
          <w:p>
            <w:pPr>
              <w:spacing w:after="0"/>
              <w:rPr>
                <w:sz w:val="13"/>
                <w:szCs w:val="13"/>
                <w:color w:val="auto"/>
              </w:rPr>
            </w:pPr>
          </w:p>
        </w:tc>
        <w:tc>
          <w:tcPr>
            <w:tcW w:w="80" w:type="dxa"/>
            <w:vAlign w:val="bottom"/>
            <w:tcBorders>
              <w:top w:val="single" w:sz="8" w:color="1E1E1E"/>
            </w:tcBorders>
          </w:tcPr>
          <w:p>
            <w:pPr>
              <w:spacing w:after="0"/>
              <w:rPr>
                <w:sz w:val="13"/>
                <w:szCs w:val="13"/>
                <w:color w:val="auto"/>
              </w:rPr>
            </w:pPr>
          </w:p>
        </w:tc>
        <w:tc>
          <w:tcPr>
            <w:tcW w:w="680" w:type="dxa"/>
            <w:vAlign w:val="bottom"/>
            <w:tcBorders>
              <w:top w:val="single" w:sz="8" w:color="1E1E1E"/>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1E1E1E"/>
                <w:w w:val="95"/>
              </w:rPr>
              <w:t>%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4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74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200" w:type="dxa"/>
            <w:vAlign w:val="bottom"/>
            <w:tcBorders>
              <w:bottom w:val="single" w:sz="8" w:color="E4E4E4"/>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680" w:type="dxa"/>
            <w:vAlign w:val="bottom"/>
            <w:tcBorders>
              <w:bottom w:val="single" w:sz="8" w:color="1E1E1E"/>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1E1E1E"/>
                <w:w w:val="98"/>
              </w:rPr>
              <w:t>Revenue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180" w:type="dxa"/>
            <w:vAlign w:val="bottom"/>
            <w:tcBorders>
              <w:bottom w:val="single" w:sz="8" w:color="E4E4E4"/>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6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Revenue</w:t>
            </w:r>
          </w:p>
        </w:tc>
        <w:tc>
          <w:tcPr>
            <w:tcW w:w="260" w:type="dxa"/>
            <w:vAlign w:val="bottom"/>
          </w:tcPr>
          <w:p>
            <w:pPr>
              <w:spacing w:after="0"/>
              <w:rPr>
                <w:sz w:val="17"/>
                <w:szCs w:val="17"/>
                <w:color w:val="auto"/>
              </w:rPr>
            </w:pPr>
          </w:p>
        </w:tc>
        <w:tc>
          <w:tcPr>
            <w:tcW w:w="760" w:type="dxa"/>
            <w:vAlign w:val="bottom"/>
            <w:tcBorders>
              <w:bottom w:val="single" w:sz="8" w:color="1E1E1E"/>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180" w:type="dxa"/>
            <w:vAlign w:val="bottom"/>
            <w:tcBorders>
              <w:bottom w:val="single" w:sz="8" w:color="E4E4E4"/>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6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Revenue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Reported gross profit and margin</w:t>
            </w:r>
          </w:p>
        </w:tc>
        <w:tc>
          <w:tcPr>
            <w:tcW w:w="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95"/>
                <w:shd w:val="clear" w:color="auto" w:fill="E4E4E4"/>
              </w:rPr>
              <w:t>203,933</w:t>
            </w:r>
          </w:p>
        </w:tc>
        <w:tc>
          <w:tcPr>
            <w:tcW w:w="200" w:type="dxa"/>
            <w:vAlign w:val="bottom"/>
            <w:shd w:val="clear" w:color="auto" w:fill="E4E4E4"/>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rPr>
              <w:t>81%</w:t>
            </w:r>
          </w:p>
        </w:tc>
        <w:tc>
          <w:tcPr>
            <w:tcW w:w="80" w:type="dxa"/>
            <w:vAlign w:val="bottom"/>
          </w:tcPr>
          <w:p>
            <w:pPr>
              <w:spacing w:after="0"/>
              <w:rPr>
                <w:sz w:val="19"/>
                <w:szCs w:val="19"/>
                <w:color w:val="auto"/>
              </w:rPr>
            </w:pPr>
          </w:p>
        </w:tc>
        <w:tc>
          <w:tcPr>
            <w:tcW w:w="7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95"/>
                <w:shd w:val="clear" w:color="auto" w:fill="E4E4E4"/>
              </w:rPr>
              <w:t>$180,028</w:t>
            </w:r>
          </w:p>
        </w:tc>
        <w:tc>
          <w:tcPr>
            <w:tcW w:w="180" w:type="dxa"/>
            <w:vAlign w:val="bottom"/>
            <w:shd w:val="clear" w:color="auto" w:fill="E4E4E4"/>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rPr>
              <w:t>81%</w:t>
            </w:r>
          </w:p>
        </w:tc>
        <w:tc>
          <w:tcPr>
            <w:tcW w:w="7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98"/>
                <w:shd w:val="clear" w:color="auto" w:fill="E4E4E4"/>
              </w:rPr>
              <w:t>$125,465</w:t>
            </w:r>
          </w:p>
        </w:tc>
        <w:tc>
          <w:tcPr>
            <w:tcW w:w="180" w:type="dxa"/>
            <w:vAlign w:val="bottom"/>
            <w:shd w:val="clear" w:color="auto" w:fill="E4E4E4"/>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rPr>
              <w:t>76%</w:t>
            </w:r>
          </w:p>
        </w:tc>
        <w:tc>
          <w:tcPr>
            <w:tcW w:w="0" w:type="dxa"/>
            <w:vAlign w:val="bottom"/>
          </w:tcPr>
          <w:p>
            <w:pPr>
              <w:spacing w:after="0"/>
              <w:rPr>
                <w:sz w:val="1"/>
                <w:szCs w:val="1"/>
                <w:color w:val="auto"/>
              </w:rPr>
            </w:pPr>
          </w:p>
        </w:tc>
      </w:tr>
      <w:tr>
        <w:trPr>
          <w:trHeight w:val="209"/>
        </w:trPr>
        <w:tc>
          <w:tcPr>
            <w:tcW w:w="4460" w:type="dxa"/>
            <w:vAlign w:val="bottom"/>
          </w:tcPr>
          <w:p>
            <w:pPr>
              <w:spacing w:after="0" w:line="208" w:lineRule="exact"/>
              <w:rPr>
                <w:sz w:val="20"/>
                <w:szCs w:val="20"/>
                <w:color w:val="auto"/>
              </w:rPr>
            </w:pPr>
            <w:r>
              <w:rPr>
                <w:rFonts w:ascii="Times New Roman" w:cs="Times New Roman" w:eastAsia="Times New Roman" w:hAnsi="Times New Roman"/>
                <w:sz w:val="20"/>
                <w:szCs w:val="20"/>
                <w:color w:val="1E1E1E"/>
              </w:rPr>
              <w:t>Amortization of intangible assets resulting from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1E1E1E"/>
              </w:rPr>
              <w:t>acquisition-related purchase accounting adjustments</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9,044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1E1E1E"/>
              </w:rPr>
              <w:t>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15,715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1E1E1E"/>
              </w:rPr>
              <w:t>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20,220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1E1E1E"/>
              </w:rPr>
              <w:t>(a)</w:t>
            </w:r>
          </w:p>
        </w:tc>
        <w:tc>
          <w:tcPr>
            <w:tcW w:w="7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Equity-based compensation costs</w:t>
            </w:r>
          </w:p>
        </w:tc>
        <w:tc>
          <w:tcPr>
            <w:tcW w:w="7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1,097</w:t>
            </w:r>
          </w:p>
        </w:tc>
        <w:tc>
          <w:tcPr>
            <w:tcW w:w="2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0%</w:t>
            </w:r>
          </w:p>
        </w:tc>
        <w:tc>
          <w:tcPr>
            <w:tcW w:w="8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942</w:t>
            </w:r>
          </w:p>
        </w:tc>
        <w:tc>
          <w:tcPr>
            <w:tcW w:w="1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0%</w:t>
            </w: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277</w:t>
            </w:r>
          </w:p>
        </w:tc>
        <w:tc>
          <w:tcPr>
            <w:tcW w:w="1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Adjusted gross profit and margin</w:t>
            </w:r>
          </w:p>
        </w:tc>
        <w:tc>
          <w:tcPr>
            <w:tcW w:w="740" w:type="dxa"/>
            <w:vAlign w:val="bottom"/>
            <w:gridSpan w:val="2"/>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460" w:type="dxa"/>
            <w:vAlign w:val="bottom"/>
            <w:vMerge w:val="continue"/>
          </w:tcPr>
          <w:p>
            <w:pPr>
              <w:spacing w:after="0"/>
              <w:rPr>
                <w:sz w:val="19"/>
                <w:szCs w:val="19"/>
                <w:color w:val="auto"/>
              </w:rPr>
            </w:pP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1E1E1E"/>
                <w:w w:val="95"/>
              </w:rPr>
              <w:t>$</w:t>
            </w:r>
            <w:r>
              <w:rPr>
                <w:rFonts w:ascii="Times New Roman" w:cs="Times New Roman" w:eastAsia="Times New Roman" w:hAnsi="Times New Roman"/>
                <w:sz w:val="20"/>
                <w:szCs w:val="20"/>
                <w:color w:val="1E1E1E"/>
                <w:w w:val="95"/>
              </w:rPr>
              <w:t>214,074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rPr>
              <w:t>85%</w:t>
            </w:r>
          </w:p>
        </w:tc>
        <w:tc>
          <w:tcPr>
            <w:tcW w:w="80" w:type="dxa"/>
            <w:vAlign w:val="bottom"/>
            <w:vMerge w:val="continue"/>
          </w:tcPr>
          <w:p>
            <w:pPr>
              <w:spacing w:after="0"/>
              <w:rPr>
                <w:sz w:val="19"/>
                <w:szCs w:val="19"/>
                <w:color w:val="auto"/>
              </w:rPr>
            </w:pP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1E1E1E"/>
                <w:w w:val="95"/>
              </w:rPr>
              <w:t>$</w:t>
            </w:r>
            <w:r>
              <w:rPr>
                <w:rFonts w:ascii="Times New Roman" w:cs="Times New Roman" w:eastAsia="Times New Roman" w:hAnsi="Times New Roman"/>
                <w:sz w:val="20"/>
                <w:szCs w:val="20"/>
                <w:color w:val="1E1E1E"/>
                <w:w w:val="95"/>
              </w:rPr>
              <w:t>196,685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rPr>
              <w:t>88%</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u w:val="single" w:color="auto"/>
                <w:color w:val="1E1E1E"/>
                <w:w w:val="98"/>
              </w:rPr>
              <w:t>$</w:t>
            </w:r>
            <w:r>
              <w:rPr>
                <w:rFonts w:ascii="Times New Roman" w:cs="Times New Roman" w:eastAsia="Times New Roman" w:hAnsi="Times New Roman"/>
                <w:sz w:val="20"/>
                <w:szCs w:val="20"/>
                <w:color w:val="1E1E1E"/>
                <w:w w:val="98"/>
              </w:rPr>
              <w:t>145,962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rPr>
              <w:t>88%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64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1E1E1E"/>
              <w:bottom w:val="single" w:sz="8" w:color="1E1E1E"/>
            </w:tcBorders>
          </w:tcPr>
          <w:p>
            <w:pPr>
              <w:spacing w:after="0" w:line="20" w:lineRule="exact"/>
              <w:rPr>
                <w:sz w:val="1"/>
                <w:szCs w:val="1"/>
                <w:color w:val="auto"/>
              </w:rPr>
            </w:pPr>
          </w:p>
        </w:tc>
        <w:tc>
          <w:tcPr>
            <w:tcW w:w="680" w:type="dxa"/>
            <w:vAlign w:val="bottom"/>
            <w:tcBorders>
              <w:top w:val="single" w:sz="8" w:color="1E1E1E"/>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-916940</wp:posOffset>
            </wp:positionV>
            <wp:extent cx="648970" cy="152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70" cy="152400"/>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-916940</wp:posOffset>
            </wp:positionV>
            <wp:extent cx="648970" cy="152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70" cy="152400"/>
                    </a:xfrm>
                    <a:prstGeom prst="rect">
                      <a:avLst/>
                    </a:prstGeom>
                    <a:noFill/>
                  </pic:spPr>
                </pic:pic>
              </a:graphicData>
            </a:graphic>
          </wp:anchor>
        </w:drawing>
        <w:drawing>
          <wp:anchor simplePos="0" relativeHeight="251657728" behindDoc="1" locked="0" layoutInCell="0" allowOverlap="1">
            <wp:simplePos x="0" y="0"/>
            <wp:positionH relativeFrom="column">
              <wp:posOffset>5904865</wp:posOffset>
            </wp:positionH>
            <wp:positionV relativeFrom="paragraph">
              <wp:posOffset>-910590</wp:posOffset>
            </wp:positionV>
            <wp:extent cx="48450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4505" cy="146050"/>
                    </a:xfrm>
                    <a:prstGeom prst="rect">
                      <a:avLst/>
                    </a:prstGeom>
                    <a:noFill/>
                  </pic:spPr>
                </pic:pic>
              </a:graphicData>
            </a:graphic>
          </wp:anchor>
        </w:drawing>
      </w:r>
    </w:p>
    <w:p>
      <w:pPr>
        <w:spacing w:after="0" w:line="79" w:lineRule="exact"/>
        <w:rPr>
          <w:sz w:val="20"/>
          <w:szCs w:val="20"/>
          <w:color w:val="auto"/>
        </w:rPr>
      </w:pPr>
    </w:p>
    <w:p>
      <w:pPr>
        <w:ind w:left="720" w:right="60" w:hanging="352"/>
        <w:spacing w:after="0" w:line="279" w:lineRule="auto"/>
        <w:tabs>
          <w:tab w:leader="none" w:pos="720" w:val="left"/>
        </w:tabs>
        <w:numPr>
          <w:ilvl w:val="0"/>
          <w:numId w:val="2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Amortization of intangible assets resulting from purchase accounting adjustments represents non-cash amortization of acquired intangibles, primarily resulting from the Advent Acquisition.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Adjusted EBITDA and Adjusted EBITDA Margin</w:t>
      </w:r>
    </w:p>
    <w:p>
      <w:pPr>
        <w:spacing w:after="0" w:line="118" w:lineRule="exact"/>
        <w:rPr>
          <w:sz w:val="20"/>
          <w:szCs w:val="20"/>
          <w:color w:val="auto"/>
        </w:rPr>
      </w:pPr>
    </w:p>
    <w:p>
      <w:pPr>
        <w:ind w:right="100" w:firstLine="490"/>
        <w:spacing w:after="0"/>
        <w:rPr>
          <w:sz w:val="20"/>
          <w:szCs w:val="20"/>
          <w:color w:val="auto"/>
        </w:rPr>
      </w:pPr>
      <w:r>
        <w:rPr>
          <w:rFonts w:ascii="Times New Roman" w:cs="Times New Roman" w:eastAsia="Times New Roman" w:hAnsi="Times New Roman"/>
          <w:sz w:val="20"/>
          <w:szCs w:val="20"/>
          <w:color w:val="1E1E1E"/>
        </w:rPr>
        <w:t>We present “Adjusted EBITDA” as a measure of our operating performance. EBITDA is defined as earnings before (i) debt-related costs, including interest expense and loss from extinguishment of debt, (ii) interest income, (iii) income taxes, and</w:t>
      </w:r>
    </w:p>
    <w:p>
      <w:pPr>
        <w:ind w:right="20" w:firstLine="8"/>
        <w:spacing w:after="0" w:line="245" w:lineRule="auto"/>
        <w:tabs>
          <w:tab w:leader="none" w:pos="339" w:val="left"/>
        </w:tabs>
        <w:numPr>
          <w:ilvl w:val="0"/>
          <w:numId w:val="2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depreciation and amortization. Management further adjusts EBITDA in its presentation of Adjusted EBITDA to exclude (i) other (income) expense, (ii) equity-based compensation, (iii) acquisition,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ectPr>
          <w:pgSz w:w="11880" w:h="15480" w:orient="portrait"/>
          <w:cols w:equalWidth="0" w:num="1">
            <w:col w:w="10240"/>
          </w:cols>
          <w:pgMar w:left="820" w:top="803" w:right="820" w:bottom="0" w:gutter="0" w:footer="0" w:header="0"/>
        </w:sect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240"/>
          </w:cols>
          <w:pgMar w:left="820" w:top="803" w:right="820" w:bottom="0" w:gutter="0" w:footer="0" w:header="0"/>
          <w:type w:val="continuous"/>
        </w:sectPr>
      </w:pPr>
    </w:p>
    <w:bookmarkStart w:id="65" w:name="page66"/>
    <w:bookmarkEnd w:id="65"/>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The following table presents a reconciliation of net loss and margin to adjusted EBITDA and adjusted EBITDA margin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72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780" w:type="dxa"/>
            <w:vAlign w:val="bottom"/>
            <w:tcBorders>
              <w:bottom w:val="single" w:sz="8" w:color="1E1E1E"/>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2160" w:type="dxa"/>
            <w:vAlign w:val="bottom"/>
            <w:tcBorders>
              <w:bottom w:val="single" w:sz="8" w:color="1E1E1E"/>
            </w:tcBorders>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0" w:type="dxa"/>
            <w:vAlign w:val="bottom"/>
            <w:tcBorders>
              <w:bottom w:val="single" w:sz="8" w:color="1E1E1E"/>
            </w:tcBorders>
          </w:tcPr>
          <w:p>
            <w:pPr>
              <w:spacing w:after="0"/>
              <w:rPr>
                <w:sz w:val="17"/>
                <w:szCs w:val="17"/>
                <w:color w:val="auto"/>
              </w:rPr>
            </w:pPr>
          </w:p>
        </w:tc>
        <w:tc>
          <w:tcPr>
            <w:tcW w:w="68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700" w:type="dxa"/>
            <w:vAlign w:val="bottom"/>
            <w:tcBorders>
              <w:bottom w:val="single" w:sz="8" w:color="1E1E1E"/>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920" w:type="dxa"/>
            <w:vAlign w:val="bottom"/>
            <w:tcBorders>
              <w:bottom w:val="single" w:sz="8" w:color="1E1E1E"/>
            </w:tcBorders>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780" w:type="dxa"/>
            <w:vAlign w:val="bottom"/>
            <w:tcBorders>
              <w:bottom w:val="single" w:sz="8" w:color="1E1E1E"/>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960" w:type="dxa"/>
            <w:vAlign w:val="bottom"/>
            <w:tcBorders>
              <w:bottom w:val="single" w:sz="8" w:color="1E1E1E"/>
            </w:tcBorders>
            <w:gridSpan w:val="3"/>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700" w:type="dxa"/>
            <w:vAlign w:val="bottom"/>
            <w:tcBorders>
              <w:bottom w:val="single" w:sz="8" w:color="1E1E1E"/>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960" w:type="dxa"/>
            <w:vAlign w:val="bottom"/>
            <w:tcBorders>
              <w:bottom w:val="single" w:sz="8" w:color="1E1E1E"/>
            </w:tcBorders>
            <w:gridSpan w:val="3"/>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700" w:type="dxa"/>
            <w:vAlign w:val="bottom"/>
            <w:tcBorders>
              <w:bottom w:val="single" w:sz="8" w:color="1E1E1E"/>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123"/>
              <w:spacing w:after="0" w:line="155" w:lineRule="exact"/>
              <w:rPr>
                <w:sz w:val="20"/>
                <w:szCs w:val="20"/>
                <w:color w:val="auto"/>
              </w:rPr>
            </w:pPr>
            <w:r>
              <w:rPr>
                <w:rFonts w:ascii="Times New Roman" w:cs="Times New Roman" w:eastAsia="Times New Roman" w:hAnsi="Times New Roman"/>
                <w:sz w:val="16"/>
                <w:szCs w:val="16"/>
                <w:b w:val="1"/>
                <w:bCs w:val="1"/>
                <w:color w:val="1E1E1E"/>
              </w:rPr>
              <w:t>% of</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23"/>
              <w:spacing w:after="0" w:line="155" w:lineRule="exact"/>
              <w:rPr>
                <w:sz w:val="20"/>
                <w:szCs w:val="20"/>
                <w:color w:val="auto"/>
              </w:rPr>
            </w:pPr>
            <w:r>
              <w:rPr>
                <w:rFonts w:ascii="Times New Roman" w:cs="Times New Roman" w:eastAsia="Times New Roman" w:hAnsi="Times New Roman"/>
                <w:sz w:val="16"/>
                <w:szCs w:val="16"/>
                <w:b w:val="1"/>
                <w:bCs w:val="1"/>
                <w:color w:val="1E1E1E"/>
              </w:rPr>
              <w:t>% of</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23"/>
              <w:spacing w:after="0" w:line="155" w:lineRule="exact"/>
              <w:rPr>
                <w:sz w:val="20"/>
                <w:szCs w:val="20"/>
                <w:color w:val="auto"/>
              </w:rPr>
            </w:pPr>
            <w:r>
              <w:rPr>
                <w:rFonts w:ascii="Times New Roman" w:cs="Times New Roman" w:eastAsia="Times New Roman" w:hAnsi="Times New Roman"/>
                <w:sz w:val="16"/>
                <w:szCs w:val="16"/>
                <w:b w:val="1"/>
                <w:bCs w:val="1"/>
                <w:color w:val="1E1E1E"/>
              </w:rPr>
              <w:t>% of</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0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1E1E1E"/>
              </w:rPr>
              <w:t>Revenue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1E1E1E"/>
              </w:rPr>
              <w:t>Amount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1E1E1E"/>
                <w:w w:val="98"/>
              </w:rPr>
              <w:t>Revenue</w:t>
            </w:r>
          </w:p>
        </w:tc>
        <w:tc>
          <w:tcPr>
            <w:tcW w:w="100" w:type="dxa"/>
            <w:vAlign w:val="bottom"/>
          </w:tcPr>
          <w:p>
            <w:pPr>
              <w:spacing w:after="0"/>
              <w:rPr>
                <w:sz w:val="17"/>
                <w:szCs w:val="17"/>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w w:val="96"/>
              </w:rPr>
              <w:t>Amount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1E1E1E"/>
                <w:w w:val="98"/>
              </w:rPr>
              <w:t>Revenue</w:t>
            </w:r>
          </w:p>
        </w:tc>
        <w:tc>
          <w:tcPr>
            <w:tcW w:w="0" w:type="dxa"/>
            <w:vAlign w:val="bottom"/>
          </w:tcPr>
          <w:p>
            <w:pPr>
              <w:spacing w:after="0"/>
              <w:rPr>
                <w:sz w:val="1"/>
                <w:szCs w:val="1"/>
                <w:color w:val="auto"/>
              </w:rPr>
            </w:pPr>
          </w:p>
        </w:tc>
      </w:tr>
      <w:tr>
        <w:trPr>
          <w:trHeight w:val="220"/>
        </w:trPr>
        <w:tc>
          <w:tcPr>
            <w:tcW w:w="39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Net loss and margin</w:t>
            </w: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7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89"/>
                <w:shd w:val="clear" w:color="auto" w:fill="E4E4E4"/>
              </w:rPr>
              <w:t>(289,627)</w:t>
            </w:r>
          </w:p>
        </w:tc>
        <w:tc>
          <w:tcPr>
            <w:tcW w:w="200" w:type="dxa"/>
            <w:vAlign w:val="bottom"/>
            <w:tcBorders>
              <w:top w:val="single" w:sz="8" w:color="E4E4E4"/>
            </w:tcBorders>
            <w:shd w:val="clear" w:color="auto" w:fill="E4E4E4"/>
          </w:tcPr>
          <w:p>
            <w:pPr>
              <w:spacing w:after="0"/>
              <w:rPr>
                <w:sz w:val="19"/>
                <w:szCs w:val="19"/>
                <w:color w:val="auto"/>
              </w:rPr>
            </w:pPr>
          </w:p>
        </w:tc>
        <w:tc>
          <w:tcPr>
            <w:tcW w:w="780" w:type="dxa"/>
            <w:vAlign w:val="bottom"/>
            <w:tcBorders>
              <w:top w:val="single" w:sz="8" w:color="1E1E1E"/>
              <w:left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(115)</w:t>
            </w:r>
          </w:p>
        </w:tc>
        <w:tc>
          <w:tcPr>
            <w:tcW w:w="340" w:type="dxa"/>
            <w:vAlign w:val="bottom"/>
            <w:tcBorders>
              <w:top w:val="single" w:sz="8" w:color="E4E4E4"/>
            </w:tcBorders>
            <w:gridSpan w:val="2"/>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4E4E4"/>
              </w:rPr>
              <w:t>(24,179</w:t>
            </w:r>
          </w:p>
        </w:tc>
        <w:tc>
          <w:tcPr>
            <w:tcW w:w="200" w:type="dxa"/>
            <w:vAlign w:val="bottom"/>
            <w:tcBorders>
              <w:top w:val="single" w:sz="8" w:color="E4E4E4"/>
            </w:tcBorders>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w w:val="74"/>
              </w:rPr>
              <w:t>)</w:t>
            </w:r>
          </w:p>
        </w:tc>
        <w:tc>
          <w:tcPr>
            <w:tcW w:w="80" w:type="dxa"/>
            <w:vAlign w:val="bottom"/>
            <w:tcBorders>
              <w:top w:val="single" w:sz="8" w:color="1E1E1E"/>
            </w:tcBorders>
            <w:shd w:val="clear" w:color="auto" w:fill="E4E4E4"/>
          </w:tcPr>
          <w:p>
            <w:pPr>
              <w:spacing w:after="0"/>
              <w:rPr>
                <w:sz w:val="19"/>
                <w:szCs w:val="19"/>
                <w:color w:val="auto"/>
              </w:rPr>
            </w:pPr>
          </w:p>
        </w:tc>
        <w:tc>
          <w:tcPr>
            <w:tcW w:w="7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w:t>
            </w:r>
          </w:p>
        </w:tc>
        <w:tc>
          <w:tcPr>
            <w:tcW w:w="340" w:type="dxa"/>
            <w:vAlign w:val="bottom"/>
            <w:tcBorders>
              <w:top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6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4E4E4"/>
              </w:rPr>
              <w:t>(62,324</w:t>
            </w:r>
          </w:p>
        </w:tc>
        <w:tc>
          <w:tcPr>
            <w:tcW w:w="200" w:type="dxa"/>
            <w:vAlign w:val="bottom"/>
            <w:tcBorders>
              <w:top w:val="single" w:sz="8" w:color="E4E4E4"/>
            </w:tcBorders>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w w:val="74"/>
              </w:rPr>
              <w:t>)</w:t>
            </w:r>
          </w:p>
        </w:tc>
        <w:tc>
          <w:tcPr>
            <w:tcW w:w="80" w:type="dxa"/>
            <w:vAlign w:val="bottom"/>
            <w:tcBorders>
              <w:top w:val="single" w:sz="8" w:color="1E1E1E"/>
            </w:tcBorders>
            <w:shd w:val="clear" w:color="auto" w:fill="E4E4E4"/>
          </w:tcPr>
          <w:p>
            <w:pPr>
              <w:spacing w:after="0"/>
              <w:rPr>
                <w:sz w:val="19"/>
                <w:szCs w:val="19"/>
                <w:color w:val="auto"/>
              </w:rPr>
            </w:pPr>
          </w:p>
        </w:tc>
        <w:tc>
          <w:tcPr>
            <w:tcW w:w="7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(38)</w:t>
            </w:r>
          </w:p>
        </w:tc>
        <w:tc>
          <w:tcPr>
            <w:tcW w:w="260" w:type="dxa"/>
            <w:vAlign w:val="bottom"/>
            <w:tcBorders>
              <w:top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1E1E1E"/>
              </w:rPr>
              <w:t>Interest expense, net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1,559</w:t>
            </w: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4%</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25,871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0" w:type="dxa"/>
            <w:vAlign w:val="bottom"/>
          </w:tcPr>
          <w:p>
            <w:pPr>
              <w:spacing w:after="0"/>
              <w:rPr>
                <w:sz w:val="1"/>
                <w:szCs w:val="1"/>
                <w:color w:val="auto"/>
              </w:rPr>
            </w:pPr>
          </w:p>
        </w:tc>
      </w:tr>
      <w:tr>
        <w:trPr>
          <w:trHeight w:val="230"/>
        </w:trPr>
        <w:tc>
          <w:tcPr>
            <w:tcW w:w="3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Income tax benefit</w:t>
            </w:r>
          </w:p>
        </w:tc>
        <w:tc>
          <w:tcPr>
            <w:tcW w:w="10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(18,553)</w:t>
            </w:r>
          </w:p>
        </w:tc>
        <w:tc>
          <w:tcPr>
            <w:tcW w:w="1060" w:type="dxa"/>
            <w:vAlign w:val="bottom"/>
            <w:tcBorders>
              <w:left w:val="single" w:sz="8" w:color="E4E4E4"/>
            </w:tcBorders>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(17,698)</w:t>
            </w:r>
          </w:p>
        </w:tc>
        <w:tc>
          <w:tcPr>
            <w:tcW w:w="8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w:t>
            </w:r>
          </w:p>
        </w:tc>
        <w:tc>
          <w:tcPr>
            <w:tcW w:w="100" w:type="dxa"/>
            <w:vAlign w:val="bottom"/>
            <w:shd w:val="clear" w:color="auto" w:fill="E4E4E4"/>
          </w:tcPr>
          <w:p>
            <w:pPr>
              <w:spacing w:after="0"/>
              <w:rPr>
                <w:sz w:val="19"/>
                <w:szCs w:val="19"/>
                <w:color w:val="auto"/>
              </w:rPr>
            </w:pPr>
          </w:p>
        </w:tc>
        <w:tc>
          <w:tcPr>
            <w:tcW w:w="88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(443)</w:t>
            </w:r>
          </w:p>
        </w:tc>
        <w:tc>
          <w:tcPr>
            <w:tcW w:w="8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1E1E1E"/>
              </w:rPr>
              <w:t>Loss from extinguishment of debt</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9,873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0" w:type="dxa"/>
            <w:vAlign w:val="bottom"/>
          </w:tcPr>
          <w:p>
            <w:pPr>
              <w:spacing w:after="0"/>
              <w:rPr>
                <w:sz w:val="1"/>
                <w:szCs w:val="1"/>
                <w:color w:val="auto"/>
              </w:rPr>
            </w:pPr>
          </w:p>
        </w:tc>
      </w:tr>
      <w:tr>
        <w:trPr>
          <w:trHeight w:val="230"/>
        </w:trPr>
        <w:tc>
          <w:tcPr>
            <w:tcW w:w="3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Depreciation &amp; amortization</w:t>
            </w: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51,750</w:t>
            </w:r>
          </w:p>
        </w:tc>
        <w:tc>
          <w:tcPr>
            <w:tcW w:w="200" w:type="dxa"/>
            <w:vAlign w:val="bottom"/>
            <w:shd w:val="clear" w:color="auto" w:fill="E4E4E4"/>
          </w:tcPr>
          <w:p>
            <w:pPr>
              <w:spacing w:after="0"/>
              <w:rPr>
                <w:sz w:val="19"/>
                <w:szCs w:val="19"/>
                <w:color w:val="auto"/>
              </w:rPr>
            </w:pPr>
          </w:p>
        </w:tc>
        <w:tc>
          <w:tcPr>
            <w:tcW w:w="1060" w:type="dxa"/>
            <w:vAlign w:val="bottom"/>
            <w:tcBorders>
              <w:left w:val="single" w:sz="8" w:color="E4E4E4"/>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21%</w:t>
            </w: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6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56,904</w:t>
            </w:r>
          </w:p>
        </w:tc>
        <w:tc>
          <w:tcPr>
            <w:tcW w:w="2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26%</w:t>
            </w:r>
          </w:p>
        </w:tc>
        <w:tc>
          <w:tcPr>
            <w:tcW w:w="100" w:type="dxa"/>
            <w:vAlign w:val="bottom"/>
            <w:shd w:val="clear" w:color="auto" w:fill="E4E4E4"/>
          </w:tcPr>
          <w:p>
            <w:pPr>
              <w:spacing w:after="0"/>
              <w:rPr>
                <w:sz w:val="19"/>
                <w:szCs w:val="19"/>
                <w:color w:val="auto"/>
              </w:rPr>
            </w:pPr>
          </w:p>
        </w:tc>
        <w:tc>
          <w:tcPr>
            <w:tcW w:w="6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59,947</w:t>
            </w:r>
          </w:p>
        </w:tc>
        <w:tc>
          <w:tcPr>
            <w:tcW w:w="2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EBITDA and margin</w:t>
            </w:r>
          </w:p>
        </w:tc>
        <w:tc>
          <w:tcPr>
            <w:tcW w:w="100" w:type="dxa"/>
            <w:vAlign w:val="bottom"/>
            <w:shd w:val="clear" w:color="auto" w:fill="1E1E1E"/>
          </w:tcPr>
          <w:p>
            <w:pPr>
              <w:spacing w:after="0" w:line="20" w:lineRule="exact"/>
              <w:rPr>
                <w:sz w:val="1"/>
                <w:szCs w:val="1"/>
                <w:color w:val="auto"/>
              </w:rPr>
            </w:pPr>
          </w:p>
        </w:tc>
        <w:tc>
          <w:tcPr>
            <w:tcW w:w="720" w:type="dxa"/>
            <w:vAlign w:val="bottom"/>
            <w:shd w:val="clear" w:color="auto" w:fill="1E1E1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tcBorders>
              <w:left w:val="single" w:sz="8" w:color="1E1E1E"/>
            </w:tcBorders>
            <w:shd w:val="clear" w:color="auto" w:fill="1E1E1E"/>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700" w:type="dxa"/>
            <w:vAlign w:val="bottom"/>
            <w:shd w:val="clear" w:color="auto" w:fill="1E1E1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7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w w:val="89"/>
              </w:rPr>
              <w:t>(254,871)</w:t>
            </w:r>
          </w:p>
        </w:tc>
        <w:tc>
          <w:tcPr>
            <w:tcW w:w="200" w:type="dxa"/>
            <w:vAlign w:val="bottom"/>
            <w:vMerge w:val="continue"/>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(101)</w:t>
            </w:r>
          </w:p>
        </w:tc>
        <w:tc>
          <w:tcPr>
            <w:tcW w:w="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23,440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rPr>
              <w:t>11%</w:t>
            </w:r>
          </w:p>
        </w:tc>
        <w:tc>
          <w:tcPr>
            <w:tcW w:w="100" w:type="dxa"/>
            <w:vAlign w:val="bottom"/>
          </w:tcPr>
          <w:p>
            <w:pPr>
              <w:spacing w:after="0"/>
              <w:rPr>
                <w:sz w:val="19"/>
                <w:szCs w:val="19"/>
                <w:color w:val="auto"/>
              </w:rPr>
            </w:pPr>
          </w:p>
        </w:tc>
        <w:tc>
          <w:tcPr>
            <w:tcW w:w="6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32,924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w:t>
            </w:r>
          </w:p>
        </w:tc>
        <w:tc>
          <w:tcPr>
            <w:tcW w:w="0" w:type="dxa"/>
            <w:vAlign w:val="bottom"/>
          </w:tcPr>
          <w:p>
            <w:pPr>
              <w:spacing w:after="0"/>
              <w:rPr>
                <w:sz w:val="1"/>
                <w:szCs w:val="1"/>
                <w:color w:val="auto"/>
              </w:rPr>
            </w:pPr>
          </w:p>
        </w:tc>
      </w:tr>
      <w:tr>
        <w:trPr>
          <w:trHeight w:val="230"/>
        </w:trPr>
        <w:tc>
          <w:tcPr>
            <w:tcW w:w="3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 xml:space="preserve">Other income, net </w:t>
            </w:r>
            <w:r>
              <w:rPr>
                <w:rFonts w:ascii="Times New Roman" w:cs="Times New Roman" w:eastAsia="Times New Roman" w:hAnsi="Times New Roman"/>
                <w:sz w:val="13"/>
                <w:szCs w:val="13"/>
                <w:color w:val="1E1E1E"/>
              </w:rPr>
              <w:t>(a)</w:t>
            </w:r>
          </w:p>
        </w:tc>
        <w:tc>
          <w:tcPr>
            <w:tcW w:w="10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(23,179)</w:t>
            </w:r>
          </w:p>
        </w:tc>
        <w:tc>
          <w:tcPr>
            <w:tcW w:w="1060" w:type="dxa"/>
            <w:vAlign w:val="bottom"/>
            <w:tcBorders>
              <w:left w:val="single" w:sz="8" w:color="E4E4E4"/>
            </w:tcBorders>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(10,579)</w:t>
            </w:r>
          </w:p>
        </w:tc>
        <w:tc>
          <w:tcPr>
            <w:tcW w:w="8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00" w:type="dxa"/>
            <w:vAlign w:val="bottom"/>
            <w:shd w:val="clear" w:color="auto" w:fill="E4E4E4"/>
          </w:tcPr>
          <w:p>
            <w:pPr>
              <w:spacing w:after="0"/>
              <w:rPr>
                <w:sz w:val="19"/>
                <w:szCs w:val="19"/>
                <w:color w:val="auto"/>
              </w:rPr>
            </w:pPr>
          </w:p>
        </w:tc>
        <w:tc>
          <w:tcPr>
            <w:tcW w:w="88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(294)</w:t>
            </w:r>
          </w:p>
        </w:tc>
        <w:tc>
          <w:tcPr>
            <w:tcW w:w="8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1E1E1E"/>
              </w:rPr>
              <w:t xml:space="preserve">Equity-based compensation </w:t>
            </w:r>
            <w:r>
              <w:rPr>
                <w:rFonts w:ascii="Times New Roman" w:cs="Times New Roman" w:eastAsia="Times New Roman" w:hAnsi="Times New Roman"/>
                <w:sz w:val="13"/>
                <w:szCs w:val="13"/>
                <w:color w:val="1E1E1E"/>
              </w:rPr>
              <w:t>(b)</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48,739</w:t>
            </w: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36,434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16%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9,957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6%</w:t>
            </w:r>
          </w:p>
        </w:tc>
        <w:tc>
          <w:tcPr>
            <w:tcW w:w="0" w:type="dxa"/>
            <w:vAlign w:val="bottom"/>
          </w:tcPr>
          <w:p>
            <w:pPr>
              <w:spacing w:after="0"/>
              <w:rPr>
                <w:sz w:val="1"/>
                <w:szCs w:val="1"/>
                <w:color w:val="auto"/>
              </w:rPr>
            </w:pPr>
          </w:p>
        </w:tc>
      </w:tr>
      <w:tr>
        <w:trPr>
          <w:trHeight w:val="209"/>
        </w:trPr>
        <w:tc>
          <w:tcPr>
            <w:tcW w:w="3980" w:type="dxa"/>
            <w:vAlign w:val="bottom"/>
            <w:shd w:val="clear" w:color="auto" w:fill="E4E4E4"/>
          </w:tcPr>
          <w:p>
            <w:pPr>
              <w:spacing w:after="0" w:line="208" w:lineRule="exact"/>
              <w:rPr>
                <w:sz w:val="20"/>
                <w:szCs w:val="20"/>
                <w:color w:val="auto"/>
              </w:rPr>
            </w:pPr>
            <w:r>
              <w:rPr>
                <w:rFonts w:ascii="Times New Roman" w:cs="Times New Roman" w:eastAsia="Times New Roman" w:hAnsi="Times New Roman"/>
                <w:sz w:val="20"/>
                <w:szCs w:val="20"/>
                <w:color w:val="1E1E1E"/>
              </w:rPr>
              <w:t>Transaction, integration and restructuring</w:t>
            </w:r>
          </w:p>
        </w:tc>
        <w:tc>
          <w:tcPr>
            <w:tcW w:w="100" w:type="dxa"/>
            <w:vAlign w:val="bottom"/>
            <w:shd w:val="clear" w:color="auto" w:fill="E4E4E4"/>
          </w:tcPr>
          <w:p>
            <w:pPr>
              <w:spacing w:after="0"/>
              <w:rPr>
                <w:sz w:val="18"/>
                <w:szCs w:val="18"/>
                <w:color w:val="auto"/>
              </w:rPr>
            </w:pPr>
          </w:p>
        </w:tc>
        <w:tc>
          <w:tcPr>
            <w:tcW w:w="72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780" w:type="dxa"/>
            <w:vAlign w:val="bottom"/>
            <w:tcBorders>
              <w:left w:val="single" w:sz="8" w:color="E4E4E4"/>
            </w:tcBorders>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70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70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 xml:space="preserve">expenses </w:t>
            </w:r>
            <w:r>
              <w:rPr>
                <w:rFonts w:ascii="Times New Roman" w:cs="Times New Roman" w:eastAsia="Times New Roman" w:hAnsi="Times New Roman"/>
                <w:sz w:val="13"/>
                <w:szCs w:val="13"/>
                <w:color w:val="1E1E1E"/>
              </w:rPr>
              <w:t>(c )</w:t>
            </w:r>
          </w:p>
        </w:tc>
        <w:tc>
          <w:tcPr>
            <w:tcW w:w="100" w:type="dxa"/>
            <w:vAlign w:val="bottom"/>
            <w:shd w:val="clear" w:color="auto" w:fill="E4E4E4"/>
          </w:tcPr>
          <w:p>
            <w:pPr>
              <w:spacing w:after="0"/>
              <w:rPr>
                <w:sz w:val="21"/>
                <w:szCs w:val="21"/>
                <w:color w:val="auto"/>
              </w:rPr>
            </w:pP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11,489</w:t>
            </w:r>
          </w:p>
        </w:tc>
        <w:tc>
          <w:tcPr>
            <w:tcW w:w="200" w:type="dxa"/>
            <w:vAlign w:val="bottom"/>
            <w:shd w:val="clear" w:color="auto" w:fill="E4E4E4"/>
          </w:tcPr>
          <w:p>
            <w:pPr>
              <w:spacing w:after="0"/>
              <w:rPr>
                <w:sz w:val="21"/>
                <w:szCs w:val="21"/>
                <w:color w:val="auto"/>
              </w:rPr>
            </w:pPr>
          </w:p>
        </w:tc>
        <w:tc>
          <w:tcPr>
            <w:tcW w:w="1060" w:type="dxa"/>
            <w:vAlign w:val="bottom"/>
            <w:tcBorders>
              <w:left w:val="single" w:sz="8" w:color="E4E4E4"/>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5%</w:t>
            </w:r>
          </w:p>
        </w:tc>
        <w:tc>
          <w:tcPr>
            <w:tcW w:w="6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6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7,890</w:t>
            </w:r>
          </w:p>
        </w:tc>
        <w:tc>
          <w:tcPr>
            <w:tcW w:w="2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0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4%</w:t>
            </w:r>
          </w:p>
        </w:tc>
        <w:tc>
          <w:tcPr>
            <w:tcW w:w="100" w:type="dxa"/>
            <w:vAlign w:val="bottom"/>
            <w:shd w:val="clear" w:color="auto" w:fill="E4E4E4"/>
          </w:tcPr>
          <w:p>
            <w:pPr>
              <w:spacing w:after="0"/>
              <w:rPr>
                <w:sz w:val="21"/>
                <w:szCs w:val="21"/>
                <w:color w:val="auto"/>
              </w:rPr>
            </w:pPr>
          </w:p>
        </w:tc>
        <w:tc>
          <w:tcPr>
            <w:tcW w:w="6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6,287</w:t>
            </w:r>
          </w:p>
        </w:tc>
        <w:tc>
          <w:tcPr>
            <w:tcW w:w="20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9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1E1E1E"/>
              </w:rPr>
              <w:t xml:space="preserve">Goodwill impairment </w:t>
            </w:r>
            <w:r>
              <w:rPr>
                <w:rFonts w:ascii="Times New Roman" w:cs="Times New Roman" w:eastAsia="Times New Roman" w:hAnsi="Times New Roman"/>
                <w:sz w:val="13"/>
                <w:szCs w:val="13"/>
                <w:color w:val="1E1E1E"/>
              </w:rPr>
              <w:t>(d)</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287,400</w:t>
            </w: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0%</w:t>
            </w:r>
          </w:p>
        </w:tc>
        <w:tc>
          <w:tcPr>
            <w:tcW w:w="10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w:t>
            </w:r>
          </w:p>
        </w:tc>
        <w:tc>
          <w:tcPr>
            <w:tcW w:w="0" w:type="dxa"/>
            <w:vAlign w:val="bottom"/>
          </w:tcPr>
          <w:p>
            <w:pPr>
              <w:spacing w:after="0"/>
              <w:rPr>
                <w:sz w:val="1"/>
                <w:szCs w:val="1"/>
                <w:color w:val="auto"/>
              </w:rPr>
            </w:pPr>
          </w:p>
        </w:tc>
      </w:tr>
      <w:tr>
        <w:trPr>
          <w:trHeight w:val="230"/>
        </w:trPr>
        <w:tc>
          <w:tcPr>
            <w:tcW w:w="3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 xml:space="preserve">Other non-core items </w:t>
            </w:r>
            <w:r>
              <w:rPr>
                <w:rFonts w:ascii="Times New Roman" w:cs="Times New Roman" w:eastAsia="Times New Roman" w:hAnsi="Times New Roman"/>
                <w:sz w:val="13"/>
                <w:szCs w:val="13"/>
                <w:color w:val="1E1E1E"/>
              </w:rPr>
              <w:t>(e)</w:t>
            </w:r>
          </w:p>
        </w:tc>
        <w:tc>
          <w:tcPr>
            <w:tcW w:w="1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4,875</w:t>
            </w:r>
          </w:p>
        </w:tc>
        <w:tc>
          <w:tcPr>
            <w:tcW w:w="200" w:type="dxa"/>
            <w:vAlign w:val="bottom"/>
            <w:shd w:val="clear" w:color="auto" w:fill="E4E4E4"/>
          </w:tcPr>
          <w:p>
            <w:pPr>
              <w:spacing w:after="0"/>
              <w:rPr>
                <w:sz w:val="19"/>
                <w:szCs w:val="19"/>
                <w:color w:val="auto"/>
              </w:rPr>
            </w:pPr>
          </w:p>
        </w:tc>
        <w:tc>
          <w:tcPr>
            <w:tcW w:w="1060" w:type="dxa"/>
            <w:vAlign w:val="bottom"/>
            <w:tcBorders>
              <w:left w:val="single" w:sz="8" w:color="E4E4E4"/>
            </w:tcBorders>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w:t>
            </w: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6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6,561</w:t>
            </w:r>
          </w:p>
        </w:tc>
        <w:tc>
          <w:tcPr>
            <w:tcW w:w="2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3%</w:t>
            </w:r>
          </w:p>
        </w:tc>
        <w:tc>
          <w:tcPr>
            <w:tcW w:w="100" w:type="dxa"/>
            <w:vAlign w:val="bottom"/>
            <w:shd w:val="clear" w:color="auto" w:fill="E4E4E4"/>
          </w:tcPr>
          <w:p>
            <w:pPr>
              <w:spacing w:after="0"/>
              <w:rPr>
                <w:sz w:val="19"/>
                <w:szCs w:val="19"/>
                <w:color w:val="auto"/>
              </w:rPr>
            </w:pPr>
          </w:p>
        </w:tc>
        <w:tc>
          <w:tcPr>
            <w:tcW w:w="6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7,116</w:t>
            </w:r>
          </w:p>
        </w:tc>
        <w:tc>
          <w:tcPr>
            <w:tcW w:w="2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Adjusted EBITDA and margin</w:t>
            </w:r>
          </w:p>
        </w:tc>
        <w:tc>
          <w:tcPr>
            <w:tcW w:w="100" w:type="dxa"/>
            <w:vAlign w:val="bottom"/>
            <w:shd w:val="clear" w:color="auto" w:fill="1E1E1E"/>
          </w:tcPr>
          <w:p>
            <w:pPr>
              <w:spacing w:after="0" w:line="20" w:lineRule="exact"/>
              <w:rPr>
                <w:sz w:val="1"/>
                <w:szCs w:val="1"/>
                <w:color w:val="auto"/>
              </w:rPr>
            </w:pPr>
          </w:p>
        </w:tc>
        <w:tc>
          <w:tcPr>
            <w:tcW w:w="72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left w:val="single" w:sz="8" w:color="1E1E1E"/>
            </w:tcBorders>
            <w:shd w:val="clear" w:color="auto" w:fill="1E1E1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700" w:type="dxa"/>
            <w:vAlign w:val="bottom"/>
            <w:shd w:val="clear" w:color="auto" w:fill="1E1E1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68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1E1E1E"/>
          </w:tcPr>
          <w:p>
            <w:pPr>
              <w:spacing w:after="0" w:line="20" w:lineRule="exact"/>
              <w:rPr>
                <w:sz w:val="1"/>
                <w:szCs w:val="1"/>
                <w:color w:val="auto"/>
              </w:rPr>
            </w:pPr>
          </w:p>
        </w:tc>
        <w:tc>
          <w:tcPr>
            <w:tcW w:w="7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98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74,453</w:t>
            </w:r>
          </w:p>
        </w:tc>
        <w:tc>
          <w:tcPr>
            <w:tcW w:w="2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30%</w:t>
            </w:r>
          </w:p>
        </w:tc>
        <w:tc>
          <w:tcPr>
            <w:tcW w:w="6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63,746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55,990</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34%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720" w:hanging="352"/>
        <w:spacing w:after="0"/>
        <w:tabs>
          <w:tab w:leader="none" w:pos="72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Primarily represents foreign exchange and TRA liability remeasurement gains and losses.</w:t>
      </w:r>
    </w:p>
    <w:p>
      <w:pPr>
        <w:ind w:left="720" w:right="160" w:hanging="352"/>
        <w:spacing w:after="0"/>
        <w:tabs>
          <w:tab w:leader="none" w:pos="72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Equity-based compensation represents non-cash compensation expense recognized in association with equity awards made to employees and directors.</w:t>
      </w:r>
    </w:p>
    <w:p>
      <w:pPr>
        <w:ind w:left="720" w:right="80" w:hanging="352"/>
        <w:spacing w:after="0" w:line="253" w:lineRule="auto"/>
        <w:tabs>
          <w:tab w:leader="none" w:pos="720" w:val="left"/>
        </w:tabs>
        <w:numPr>
          <w:ilvl w:val="0"/>
          <w:numId w:val="2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Transaction and integration expenses primarily represent legal, accounting, and consulting expenses and fair value adjustments for contingent consideration related to our acquisitions. Restructuring expenses relate to our restructuring plans committed to in the first and third quarters of 2023 and impairment and restructuring charges related to office closures and relocations.</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50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76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80" w:type="dxa"/>
            <w:vAlign w:val="bottom"/>
            <w:tcBorders>
              <w:bottom w:val="single" w:sz="8" w:color="E4E4E4"/>
            </w:tcBorders>
            <w:vMerge w:val="continue"/>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240" w:type="dxa"/>
            <w:vAlign w:val="bottom"/>
            <w:tcBorders>
              <w:bottom w:val="single" w:sz="8" w:color="1E1E1E"/>
            </w:tcBorders>
          </w:tcPr>
          <w:p>
            <w:pPr>
              <w:spacing w:after="0"/>
              <w:rPr>
                <w:sz w:val="15"/>
                <w:szCs w:val="15"/>
                <w:color w:val="auto"/>
              </w:rPr>
            </w:pPr>
          </w:p>
        </w:tc>
        <w:tc>
          <w:tcPr>
            <w:tcW w:w="800" w:type="dxa"/>
            <w:vAlign w:val="bottom"/>
            <w:tcBorders>
              <w:bottom w:val="single" w:sz="8" w:color="1E1E1E"/>
            </w:tcBorders>
          </w:tcPr>
          <w:p>
            <w:pPr>
              <w:jc w:val="right"/>
              <w:ind w:right="265"/>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00" w:type="dxa"/>
            <w:vAlign w:val="bottom"/>
            <w:tcBorders>
              <w:bottom w:val="single" w:sz="8" w:color="E4E4E4"/>
            </w:tcBorders>
          </w:tcPr>
          <w:p>
            <w:pPr>
              <w:spacing w:after="0"/>
              <w:rPr>
                <w:sz w:val="15"/>
                <w:szCs w:val="15"/>
                <w:color w:val="auto"/>
              </w:rPr>
            </w:pPr>
          </w:p>
        </w:tc>
        <w:tc>
          <w:tcPr>
            <w:tcW w:w="220" w:type="dxa"/>
            <w:vAlign w:val="bottom"/>
            <w:tcBorders>
              <w:bottom w:val="single" w:sz="8" w:color="1E1E1E"/>
            </w:tcBorders>
          </w:tcPr>
          <w:p>
            <w:pPr>
              <w:spacing w:after="0"/>
              <w:rPr>
                <w:sz w:val="15"/>
                <w:szCs w:val="15"/>
                <w:color w:val="auto"/>
              </w:rPr>
            </w:pPr>
          </w:p>
        </w:tc>
        <w:tc>
          <w:tcPr>
            <w:tcW w:w="800" w:type="dxa"/>
            <w:vAlign w:val="bottom"/>
            <w:tcBorders>
              <w:bottom w:val="single" w:sz="8" w:color="1E1E1E"/>
            </w:tcBorders>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2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760" w:type="dxa"/>
            <w:vAlign w:val="bottom"/>
            <w:tcBorders>
              <w:bottom w:val="single" w:sz="8" w:color="1E1E1E"/>
            </w:tcBorders>
          </w:tcPr>
          <w:p>
            <w:pPr>
              <w:jc w:val="right"/>
              <w:ind w:right="263"/>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Merger and acquisition due diligence and transaction costs</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5,419</w:t>
            </w:r>
          </w:p>
        </w:tc>
        <w:tc>
          <w:tcPr>
            <w:tcW w:w="20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1,580</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2,496</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1E1E1E"/>
              </w:rPr>
              <w:t>Integration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Fair value adjustment for contingent consideration</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302</w:t>
            </w:r>
          </w:p>
        </w:tc>
        <w:tc>
          <w:tcPr>
            <w:tcW w:w="2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1,250</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3,764</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1E1E1E"/>
                <w:w w:val="99"/>
              </w:rPr>
              <w:t>Restructuring charges for severance and other separation costs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E4E4E4"/>
          </w:tcPr>
          <w:p>
            <w:pPr>
              <w:spacing w:after="0" w:line="208" w:lineRule="exact"/>
              <w:rPr>
                <w:sz w:val="20"/>
                <w:szCs w:val="20"/>
                <w:color w:val="auto"/>
              </w:rPr>
            </w:pPr>
            <w:r>
              <w:rPr>
                <w:rFonts w:ascii="Times New Roman" w:cs="Times New Roman" w:eastAsia="Times New Roman" w:hAnsi="Times New Roman"/>
                <w:sz w:val="20"/>
                <w:szCs w:val="20"/>
                <w:color w:val="1E1E1E"/>
              </w:rPr>
              <w:t>Office closure and relocation restructuring charges and</w:t>
            </w: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impairments</w:t>
            </w:r>
          </w:p>
        </w:tc>
        <w:tc>
          <w:tcPr>
            <w:tcW w:w="120" w:type="dxa"/>
            <w:vAlign w:val="bottom"/>
            <w:shd w:val="clear" w:color="auto" w:fill="E4E4E4"/>
          </w:tcPr>
          <w:p>
            <w:pPr>
              <w:spacing w:after="0"/>
              <w:rPr>
                <w:sz w:val="21"/>
                <w:szCs w:val="21"/>
                <w:color w:val="auto"/>
              </w:rPr>
            </w:pPr>
          </w:p>
        </w:tc>
        <w:tc>
          <w:tcPr>
            <w:tcW w:w="240" w:type="dxa"/>
            <w:vAlign w:val="bottom"/>
            <w:tcBorders>
              <w:bottom w:val="single" w:sz="8" w:color="1E1E1E"/>
            </w:tcBorders>
            <w:shd w:val="clear" w:color="auto" w:fill="E4E4E4"/>
          </w:tcPr>
          <w:p>
            <w:pPr>
              <w:spacing w:after="0"/>
              <w:rPr>
                <w:sz w:val="21"/>
                <w:szCs w:val="21"/>
                <w:color w:val="auto"/>
              </w:rPr>
            </w:pPr>
          </w:p>
        </w:tc>
        <w:tc>
          <w:tcPr>
            <w:tcW w:w="8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155</w:t>
            </w:r>
          </w:p>
        </w:tc>
        <w:tc>
          <w:tcPr>
            <w:tcW w:w="200" w:type="dxa"/>
            <w:vAlign w:val="bottom"/>
            <w:shd w:val="clear" w:color="auto" w:fill="E4E4E4"/>
          </w:tcPr>
          <w:p>
            <w:pPr>
              <w:spacing w:after="0"/>
              <w:rPr>
                <w:sz w:val="21"/>
                <w:szCs w:val="21"/>
                <w:color w:val="auto"/>
              </w:rPr>
            </w:pPr>
          </w:p>
        </w:tc>
        <w:tc>
          <w:tcPr>
            <w:tcW w:w="220" w:type="dxa"/>
            <w:vAlign w:val="bottom"/>
            <w:tcBorders>
              <w:bottom w:val="single" w:sz="8" w:color="1E1E1E"/>
            </w:tcBorders>
            <w:shd w:val="clear" w:color="auto" w:fill="E4E4E4"/>
          </w:tcPr>
          <w:p>
            <w:pPr>
              <w:spacing w:after="0"/>
              <w:rPr>
                <w:sz w:val="21"/>
                <w:szCs w:val="21"/>
                <w:color w:val="auto"/>
              </w:rPr>
            </w:pPr>
          </w:p>
        </w:tc>
        <w:tc>
          <w:tcPr>
            <w:tcW w:w="8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1,295</w:t>
            </w:r>
          </w:p>
        </w:tc>
        <w:tc>
          <w:tcPr>
            <w:tcW w:w="220" w:type="dxa"/>
            <w:vAlign w:val="bottom"/>
            <w:shd w:val="clear" w:color="auto" w:fill="E4E4E4"/>
          </w:tcPr>
          <w:p>
            <w:pPr>
              <w:spacing w:after="0"/>
              <w:rPr>
                <w:sz w:val="21"/>
                <w:szCs w:val="21"/>
                <w:color w:val="auto"/>
              </w:rPr>
            </w:pPr>
          </w:p>
        </w:tc>
        <w:tc>
          <w:tcPr>
            <w:tcW w:w="260" w:type="dxa"/>
            <w:vAlign w:val="bottom"/>
            <w:tcBorders>
              <w:bottom w:val="single" w:sz="8" w:color="1E1E1E"/>
            </w:tcBorders>
            <w:shd w:val="clear" w:color="auto" w:fill="E4E4E4"/>
          </w:tcPr>
          <w:p>
            <w:pPr>
              <w:spacing w:after="0"/>
              <w:rPr>
                <w:sz w:val="21"/>
                <w:szCs w:val="21"/>
                <w:color w:val="auto"/>
              </w:rPr>
            </w:pPr>
          </w:p>
        </w:tc>
        <w:tc>
          <w:tcPr>
            <w:tcW w:w="7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transaction, integration and restructuring expense</w:t>
            </w:r>
          </w:p>
        </w:tc>
        <w:tc>
          <w:tcPr>
            <w:tcW w:w="120" w:type="dxa"/>
            <w:vAlign w:val="bottom"/>
          </w:tcPr>
          <w:p>
            <w:pPr>
              <w:spacing w:after="0"/>
              <w:rPr>
                <w:sz w:val="19"/>
                <w:szCs w:val="19"/>
                <w:color w:val="auto"/>
              </w:rPr>
            </w:pPr>
          </w:p>
        </w:tc>
        <w:tc>
          <w:tcPr>
            <w:tcW w:w="240" w:type="dxa"/>
            <w:vAlign w:val="bottom"/>
            <w:tcBorders>
              <w:bottom w:val="single" w:sz="8" w:color="1E1E1E"/>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11,489</w:t>
            </w:r>
          </w:p>
        </w:tc>
        <w:tc>
          <w:tcPr>
            <w:tcW w:w="200" w:type="dxa"/>
            <w:vAlign w:val="bottom"/>
          </w:tcPr>
          <w:p>
            <w:pPr>
              <w:spacing w:after="0"/>
              <w:rPr>
                <w:sz w:val="19"/>
                <w:szCs w:val="19"/>
                <w:color w:val="auto"/>
              </w:rPr>
            </w:pPr>
          </w:p>
        </w:tc>
        <w:tc>
          <w:tcPr>
            <w:tcW w:w="220" w:type="dxa"/>
            <w:vAlign w:val="bottom"/>
            <w:tcBorders>
              <w:bottom w:val="single" w:sz="8" w:color="1E1E1E"/>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7,890</w:t>
            </w:r>
          </w:p>
        </w:tc>
        <w:tc>
          <w:tcPr>
            <w:tcW w:w="220" w:type="dxa"/>
            <w:vAlign w:val="bottom"/>
          </w:tcPr>
          <w:p>
            <w:pPr>
              <w:spacing w:after="0"/>
              <w:rPr>
                <w:sz w:val="19"/>
                <w:szCs w:val="19"/>
                <w:color w:val="auto"/>
              </w:rPr>
            </w:pPr>
          </w:p>
        </w:tc>
        <w:tc>
          <w:tcPr>
            <w:tcW w:w="260" w:type="dxa"/>
            <w:vAlign w:val="bottom"/>
            <w:tcBorders>
              <w:bottom w:val="single" w:sz="8" w:color="1E1E1E"/>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7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720" w:right="280" w:hanging="352"/>
        <w:spacing w:after="0"/>
        <w:tabs>
          <w:tab w:leader="none" w:pos="72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Goodwill impairment represents a non-cash, pretax, goodwill impairment charge of $287.4 million recorded 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this impairment charge.</w:t>
      </w:r>
    </w:p>
    <w:p>
      <w:pPr>
        <w:ind w:left="720" w:right="60" w:hanging="352"/>
        <w:spacing w:after="0" w:line="243" w:lineRule="auto"/>
        <w:tabs>
          <w:tab w:leader="none" w:pos="720" w:val="left"/>
        </w:tabs>
        <w:numPr>
          <w:ilvl w:val="0"/>
          <w:numId w:val="2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charges inclusive of penalties and interest for sales taxes that we may have been required to collect from customers in 2023 and certain previous years, professional fees related to the filing delay and restatement of our previously issued financial statements filed concurrently with our Quarterly Report on Form 10-Q for the second quarter of 2023, and other non-recurring legal and regulatory matters. Other non-core items also include non-recurring strategic consulting fees associated with a strategic initiative to restructure and transform the Company through commercial and operational reorganization that right sizes the organization as well as professional fees related to financing, capital structure changes, and other non-recurring set-up costs related to public company operations.</w:t>
      </w:r>
    </w:p>
    <w:p>
      <w:pPr>
        <w:sectPr>
          <w:pgSz w:w="11880" w:h="15480" w:orient="portrait"/>
          <w:cols w:equalWidth="0" w:num="1">
            <w:col w:w="10240"/>
          </w:cols>
          <w:pgMar w:left="820" w:top="80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240"/>
          </w:cols>
          <w:pgMar w:left="820" w:top="806" w:right="820" w:bottom="0" w:gutter="0" w:footer="0" w:header="0"/>
          <w:type w:val="continuous"/>
        </w:sectPr>
      </w:pPr>
    </w:p>
    <w:bookmarkStart w:id="66" w:name="page67"/>
    <w:bookmarkEnd w:id="66"/>
    <w:tbl>
      <w:tblPr>
        <w:tblLayout w:type="fixed"/>
        <w:tblInd w:w="780" w:type="dxa"/>
        <w:tblCellMar>
          <w:top w:w="0" w:type="dxa"/>
          <w:left w:w="0" w:type="dxa"/>
          <w:bottom w:w="0" w:type="dxa"/>
          <w:right w:w="0" w:type="dxa"/>
        </w:tblCellMar>
      </w:tblPr>
      <w:tr>
        <w:trPr>
          <w:trHeight w:val="204"/>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2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264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76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80" w:type="dxa"/>
            <w:vAlign w:val="bottom"/>
            <w:tcBorders>
              <w:bottom w:val="single" w:sz="8" w:color="E4E4E4"/>
            </w:tcBorders>
            <w:vMerge w:val="continue"/>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940" w:type="dxa"/>
            <w:vAlign w:val="bottom"/>
            <w:tcBorders>
              <w:bottom w:val="single" w:sz="8" w:color="1E1E1E"/>
            </w:tcBorders>
          </w:tcPr>
          <w:p>
            <w:pPr>
              <w:jc w:val="right"/>
              <w:ind w:right="266"/>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00" w:type="dxa"/>
            <w:vAlign w:val="bottom"/>
            <w:tcBorders>
              <w:bottom w:val="single" w:sz="8" w:color="E4E4E4"/>
            </w:tcBorders>
          </w:tcPr>
          <w:p>
            <w:pPr>
              <w:spacing w:after="0"/>
              <w:rPr>
                <w:sz w:val="15"/>
                <w:szCs w:val="15"/>
                <w:color w:val="auto"/>
              </w:rPr>
            </w:pPr>
          </w:p>
        </w:tc>
        <w:tc>
          <w:tcPr>
            <w:tcW w:w="220" w:type="dxa"/>
            <w:vAlign w:val="bottom"/>
            <w:tcBorders>
              <w:bottom w:val="single" w:sz="8" w:color="1E1E1E"/>
            </w:tcBorders>
          </w:tcPr>
          <w:p>
            <w:pPr>
              <w:spacing w:after="0"/>
              <w:rPr>
                <w:sz w:val="15"/>
                <w:szCs w:val="15"/>
                <w:color w:val="auto"/>
              </w:rPr>
            </w:pPr>
          </w:p>
        </w:tc>
        <w:tc>
          <w:tcPr>
            <w:tcW w:w="800" w:type="dxa"/>
            <w:vAlign w:val="bottom"/>
            <w:tcBorders>
              <w:bottom w:val="single" w:sz="8" w:color="1E1E1E"/>
            </w:tcBorders>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2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760" w:type="dxa"/>
            <w:vAlign w:val="bottom"/>
            <w:tcBorders>
              <w:bottom w:val="single" w:sz="8" w:color="1E1E1E"/>
            </w:tcBorders>
          </w:tcPr>
          <w:p>
            <w:pPr>
              <w:jc w:val="right"/>
              <w:ind w:right="263"/>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Non-core legal and regulatory</w:t>
            </w:r>
          </w:p>
        </w:tc>
        <w:tc>
          <w:tcPr>
            <w:tcW w:w="12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9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2,370</w:t>
            </w:r>
          </w:p>
        </w:tc>
        <w:tc>
          <w:tcPr>
            <w:tcW w:w="20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3,696</w:t>
            </w:r>
          </w:p>
        </w:tc>
        <w:tc>
          <w:tcPr>
            <w:tcW w:w="22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2,770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1E1E1E"/>
              </w:rPr>
              <w:t>Consulting fees for non-recurring strategic restructuring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1,977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E4E4E4"/>
          </w:tcPr>
          <w:p>
            <w:pPr>
              <w:spacing w:after="0" w:line="208" w:lineRule="exact"/>
              <w:rPr>
                <w:sz w:val="20"/>
                <w:szCs w:val="20"/>
                <w:color w:val="auto"/>
              </w:rPr>
            </w:pPr>
            <w:r>
              <w:rPr>
                <w:rFonts w:ascii="Times New Roman" w:cs="Times New Roman" w:eastAsia="Times New Roman" w:hAnsi="Times New Roman"/>
                <w:sz w:val="20"/>
                <w:szCs w:val="20"/>
                <w:color w:val="1E1E1E"/>
              </w:rPr>
              <w:t>Professional fees for set-up of Up-C, TRA, tax and public</w:t>
            </w:r>
          </w:p>
        </w:tc>
        <w:tc>
          <w:tcPr>
            <w:tcW w:w="1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2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company infrastructure</w:t>
            </w:r>
          </w:p>
        </w:tc>
        <w:tc>
          <w:tcPr>
            <w:tcW w:w="12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8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2,467</w:t>
            </w:r>
          </w:p>
        </w:tc>
        <w:tc>
          <w:tcPr>
            <w:tcW w:w="22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4,075</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Other non-core expenses</w:t>
            </w:r>
          </w:p>
        </w:tc>
        <w:tc>
          <w:tcPr>
            <w:tcW w:w="120" w:type="dxa"/>
            <w:vAlign w:val="bottom"/>
            <w:tcBorders>
              <w:bottom w:val="single" w:sz="8" w:color="E4E4E4"/>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528</w:t>
            </w:r>
          </w:p>
        </w:tc>
        <w:tc>
          <w:tcPr>
            <w:tcW w:w="200" w:type="dxa"/>
            <w:vAlign w:val="bottom"/>
            <w:tcBorders>
              <w:bottom w:val="single" w:sz="8" w:color="E4E4E4"/>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398</w:t>
            </w:r>
          </w:p>
        </w:tc>
        <w:tc>
          <w:tcPr>
            <w:tcW w:w="22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7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271</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80" w:type="dxa"/>
            <w:vAlign w:val="bottom"/>
            <w:tcBorders>
              <w:bottom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 other non-core items</w:t>
            </w:r>
          </w:p>
        </w:tc>
        <w:tc>
          <w:tcPr>
            <w:tcW w:w="1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4,875</w:t>
            </w:r>
          </w:p>
        </w:tc>
        <w:tc>
          <w:tcPr>
            <w:tcW w:w="2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6,561</w:t>
            </w:r>
          </w:p>
        </w:tc>
        <w:tc>
          <w:tcPr>
            <w:tcW w:w="22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1E1E1E"/>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7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7,116</w:t>
            </w:r>
          </w:p>
        </w:tc>
        <w:tc>
          <w:tcPr>
            <w:tcW w:w="8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7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Overview</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 xml:space="preserve">As of December 31, 2023, we had $131.0 million of cash and cash equivalents, $177.1 million of short-term investments and $74.4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and acquisitions, as well as debt services (see Note 10. </w:t>
      </w:r>
      <w:r>
        <w:rPr>
          <w:rFonts w:ascii="Times New Roman" w:cs="Times New Roman" w:eastAsia="Times New Roman" w:hAnsi="Times New Roman"/>
          <w:sz w:val="20"/>
          <w:szCs w:val="20"/>
          <w:i w:val="1"/>
          <w:iCs w:val="1"/>
          <w:color w:val="1E1E1E"/>
        </w:rPr>
        <w:t>Long-Term</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Debt </w:t>
      </w:r>
      <w:r>
        <w:rPr>
          <w:rFonts w:ascii="Times New Roman" w:cs="Times New Roman" w:eastAsia="Times New Roman" w:hAnsi="Times New Roman"/>
          <w:sz w:val="20"/>
          <w:szCs w:val="20"/>
          <w:color w:val="1E1E1E"/>
        </w:rPr>
        <w:t>in the accompanying consolidated financial statements for further details) and distributions to members of Definitive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OpCo.</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E1E1E"/>
        </w:rPr>
        <w:t>Additionally, our liquidity and our ability to meet our obligations and fund our capital requirements are dependent on our future financial performance, which is subject to general economic, financial, and other factors that are beyond our control. See the “Risk Factors” section within this Annual Report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Additionally,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10220"/>
          </w:cols>
          <w:pgMar w:left="820" w:top="808" w:right="8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1E1E1E"/>
        </w:rPr>
        <w:t>Impact of Inflation</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While inflation and increases to the cost of and competition for labor have negatively impacted and continue to negatively impact our operating expenses, we do not believe inflation has had a material effect on our business, financial condition, or results of operations.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Credit Risk</w:t>
      </w:r>
    </w:p>
    <w:p>
      <w:pPr>
        <w:spacing w:after="0" w:line="118"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Flows</w:t>
      </w:r>
    </w:p>
    <w:p>
      <w:pPr>
        <w:spacing w:after="0" w:line="118" w:lineRule="exact"/>
        <w:rPr>
          <w:sz w:val="20"/>
          <w:szCs w:val="20"/>
          <w:color w:val="auto"/>
        </w:rPr>
      </w:pPr>
    </w:p>
    <w:p>
      <w:pPr>
        <w:ind w:right="240" w:firstLine="490"/>
        <w:spacing w:after="0" w:line="253" w:lineRule="auto"/>
        <w:rPr>
          <w:sz w:val="20"/>
          <w:szCs w:val="20"/>
          <w:color w:val="auto"/>
        </w:rPr>
      </w:pPr>
      <w:r>
        <w:rPr>
          <w:rFonts w:ascii="Times New Roman" w:cs="Times New Roman" w:eastAsia="Times New Roman" w:hAnsi="Times New Roman"/>
          <w:sz w:val="20"/>
          <w:szCs w:val="20"/>
          <w:color w:val="1E1E1E"/>
        </w:rPr>
        <w:t>The discussion of our cash flows includes a year-over-year comparison of 2023 cash flows to those in 2022. For a discussion of our 2022 cash flows compared to 2021 cash flows, see the discussion in Item 7, Management’s Discussion and Analysis of Financial Condition and Results of Operations in our 2022 Form 10-K/A, which is incorporated by reference herein.</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summarizes our cash flows for the periods presented:</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5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60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20" w:type="dxa"/>
            <w:vAlign w:val="bottom"/>
            <w:tcBorders>
              <w:bottom w:val="single" w:sz="8" w:color="E4E4E4"/>
            </w:tcBorders>
            <w:vMerge w:val="continue"/>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240" w:type="dxa"/>
            <w:vAlign w:val="bottom"/>
            <w:tcBorders>
              <w:bottom w:val="single" w:sz="8" w:color="1E1E1E"/>
            </w:tcBorders>
          </w:tcPr>
          <w:p>
            <w:pPr>
              <w:spacing w:after="0"/>
              <w:rPr>
                <w:sz w:val="15"/>
                <w:szCs w:val="15"/>
                <w:color w:val="auto"/>
              </w:rPr>
            </w:pPr>
          </w:p>
        </w:tc>
        <w:tc>
          <w:tcPr>
            <w:tcW w:w="840" w:type="dxa"/>
            <w:vAlign w:val="bottom"/>
            <w:tcBorders>
              <w:bottom w:val="single" w:sz="8" w:color="1E1E1E"/>
            </w:tcBorders>
          </w:tcPr>
          <w:p>
            <w:pPr>
              <w:jc w:val="right"/>
              <w:ind w:right="287"/>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bottom w:val="single" w:sz="8" w:color="E4E4E4"/>
            </w:tcBorders>
          </w:tcPr>
          <w:p>
            <w:pPr>
              <w:spacing w:after="0"/>
              <w:rPr>
                <w:sz w:val="15"/>
                <w:szCs w:val="15"/>
                <w:color w:val="auto"/>
              </w:rPr>
            </w:pPr>
          </w:p>
        </w:tc>
        <w:tc>
          <w:tcPr>
            <w:tcW w:w="220" w:type="dxa"/>
            <w:vAlign w:val="bottom"/>
            <w:tcBorders>
              <w:bottom w:val="single" w:sz="8" w:color="1E1E1E"/>
            </w:tcBorders>
          </w:tcPr>
          <w:p>
            <w:pPr>
              <w:spacing w:after="0"/>
              <w:rPr>
                <w:sz w:val="15"/>
                <w:szCs w:val="15"/>
                <w:color w:val="auto"/>
              </w:rPr>
            </w:pPr>
          </w:p>
        </w:tc>
        <w:tc>
          <w:tcPr>
            <w:tcW w:w="860" w:type="dxa"/>
            <w:vAlign w:val="bottom"/>
            <w:tcBorders>
              <w:bottom w:val="single" w:sz="8" w:color="1E1E1E"/>
            </w:tcBorders>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0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820" w:type="dxa"/>
            <w:vAlign w:val="bottom"/>
            <w:tcBorders>
              <w:bottom w:val="single" w:sz="8" w:color="1E1E1E"/>
            </w:tcBorders>
          </w:tcPr>
          <w:p>
            <w:pPr>
              <w:jc w:val="right"/>
              <w:ind w:right="284"/>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2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Cash provided by (used in):</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Operating activities</w:t>
            </w:r>
          </w:p>
        </w:tc>
        <w:tc>
          <w:tcPr>
            <w:tcW w:w="120" w:type="dxa"/>
            <w:vAlign w:val="bottom"/>
          </w:tcPr>
          <w:p>
            <w:pPr>
              <w:spacing w:after="0"/>
              <w:rPr>
                <w:sz w:val="19"/>
                <w:szCs w:val="19"/>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41,190</w:t>
            </w:r>
          </w:p>
        </w:tc>
        <w:tc>
          <w:tcPr>
            <w:tcW w:w="22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35,579</w:t>
            </w:r>
          </w:p>
        </w:tc>
        <w:tc>
          <w:tcPr>
            <w:tcW w:w="20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25,212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Investing activities</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(31,782)</w:t>
            </w:r>
          </w:p>
        </w:tc>
        <w:tc>
          <w:tcPr>
            <w:tcW w:w="22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(248,903)</w:t>
            </w:r>
          </w:p>
        </w:tc>
        <w:tc>
          <w:tcPr>
            <w:tcW w:w="260" w:type="dxa"/>
            <w:vAlign w:val="bottom"/>
            <w:shd w:val="clear" w:color="auto" w:fill="E4E4E4"/>
          </w:tcPr>
          <w:p>
            <w:pPr>
              <w:spacing w:after="0"/>
              <w:rPr>
                <w:sz w:val="19"/>
                <w:szCs w:val="19"/>
                <w:color w:val="auto"/>
              </w:rPr>
            </w:pPr>
          </w:p>
        </w:tc>
        <w:tc>
          <w:tcPr>
            <w:tcW w:w="9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(46,731)</w:t>
            </w:r>
          </w:p>
        </w:tc>
        <w:tc>
          <w:tcPr>
            <w:tcW w:w="0" w:type="dxa"/>
            <w:vAlign w:val="bottom"/>
          </w:tcPr>
          <w:p>
            <w:pPr>
              <w:spacing w:after="0"/>
              <w:rPr>
                <w:sz w:val="1"/>
                <w:szCs w:val="1"/>
                <w:color w:val="auto"/>
              </w:rPr>
            </w:pPr>
          </w:p>
        </w:tc>
      </w:tr>
      <w:tr>
        <w:trPr>
          <w:trHeight w:val="230"/>
        </w:trPr>
        <w:tc>
          <w:tcPr>
            <w:tcW w:w="52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Financing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(25,584)</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(26,696)</w:t>
            </w: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384,372</w:t>
            </w:r>
          </w:p>
        </w:tc>
        <w:tc>
          <w:tcPr>
            <w:tcW w:w="0" w:type="dxa"/>
            <w:vAlign w:val="bottom"/>
          </w:tcPr>
          <w:p>
            <w:pPr>
              <w:spacing w:after="0"/>
              <w:rPr>
                <w:sz w:val="1"/>
                <w:szCs w:val="1"/>
                <w:color w:val="auto"/>
              </w:rPr>
            </w:pPr>
          </w:p>
        </w:tc>
      </w:tr>
      <w:tr>
        <w:trPr>
          <w:trHeight w:val="199"/>
        </w:trPr>
        <w:tc>
          <w:tcPr>
            <w:tcW w:w="5220" w:type="dxa"/>
            <w:vAlign w:val="bottom"/>
            <w:tcBorders>
              <w:top w:val="single" w:sz="8" w:color="E4E4E4"/>
            </w:tcBorders>
            <w:shd w:val="clear" w:color="auto" w:fill="E4E4E4"/>
          </w:tcPr>
          <w:p>
            <w:pPr>
              <w:spacing w:after="0" w:line="199" w:lineRule="exact"/>
              <w:rPr>
                <w:sz w:val="20"/>
                <w:szCs w:val="20"/>
                <w:color w:val="auto"/>
              </w:rPr>
            </w:pPr>
            <w:r>
              <w:rPr>
                <w:rFonts w:ascii="Times New Roman" w:cs="Times New Roman" w:eastAsia="Times New Roman" w:hAnsi="Times New Roman"/>
                <w:sz w:val="20"/>
                <w:szCs w:val="20"/>
                <w:color w:val="1E1E1E"/>
              </w:rPr>
              <w:t>Change in cash and cash equivalents (excluding effect of</w:t>
            </w:r>
          </w:p>
        </w:tc>
        <w:tc>
          <w:tcPr>
            <w:tcW w:w="120" w:type="dxa"/>
            <w:vAlign w:val="bottom"/>
            <w:tcBorders>
              <w:top w:val="single" w:sz="8" w:color="E4E4E4"/>
            </w:tcBorders>
            <w:shd w:val="clear" w:color="auto" w:fill="E4E4E4"/>
          </w:tcPr>
          <w:p>
            <w:pPr>
              <w:spacing w:after="0"/>
              <w:rPr>
                <w:sz w:val="17"/>
                <w:szCs w:val="17"/>
                <w:color w:val="auto"/>
              </w:rPr>
            </w:pPr>
          </w:p>
        </w:tc>
        <w:tc>
          <w:tcPr>
            <w:tcW w:w="240" w:type="dxa"/>
            <w:vAlign w:val="bottom"/>
            <w:tcBorders>
              <w:top w:val="single" w:sz="8" w:color="1E1E1E"/>
            </w:tcBorders>
            <w:shd w:val="clear" w:color="auto" w:fill="E4E4E4"/>
          </w:tcPr>
          <w:p>
            <w:pPr>
              <w:spacing w:after="0"/>
              <w:rPr>
                <w:sz w:val="17"/>
                <w:szCs w:val="17"/>
                <w:color w:val="auto"/>
              </w:rPr>
            </w:pPr>
          </w:p>
        </w:tc>
        <w:tc>
          <w:tcPr>
            <w:tcW w:w="840" w:type="dxa"/>
            <w:vAlign w:val="bottom"/>
            <w:tcBorders>
              <w:top w:val="single" w:sz="8" w:color="1E1E1E"/>
            </w:tcBorders>
            <w:shd w:val="clear" w:color="auto" w:fill="E4E4E4"/>
          </w:tcPr>
          <w:p>
            <w:pPr>
              <w:spacing w:after="0"/>
              <w:rPr>
                <w:sz w:val="17"/>
                <w:szCs w:val="17"/>
                <w:color w:val="auto"/>
              </w:rPr>
            </w:pPr>
          </w:p>
        </w:tc>
        <w:tc>
          <w:tcPr>
            <w:tcW w:w="220" w:type="dxa"/>
            <w:vAlign w:val="bottom"/>
            <w:tcBorders>
              <w:top w:val="single" w:sz="8" w:color="E4E4E4"/>
            </w:tcBorders>
            <w:shd w:val="clear" w:color="auto" w:fill="E4E4E4"/>
          </w:tcPr>
          <w:p>
            <w:pPr>
              <w:spacing w:after="0"/>
              <w:rPr>
                <w:sz w:val="17"/>
                <w:szCs w:val="17"/>
                <w:color w:val="auto"/>
              </w:rPr>
            </w:pPr>
          </w:p>
        </w:tc>
        <w:tc>
          <w:tcPr>
            <w:tcW w:w="220" w:type="dxa"/>
            <w:vAlign w:val="bottom"/>
            <w:tcBorders>
              <w:top w:val="single" w:sz="8" w:color="1E1E1E"/>
            </w:tcBorders>
            <w:shd w:val="clear" w:color="auto" w:fill="E4E4E4"/>
          </w:tcPr>
          <w:p>
            <w:pPr>
              <w:spacing w:after="0"/>
              <w:rPr>
                <w:sz w:val="17"/>
                <w:szCs w:val="17"/>
                <w:color w:val="auto"/>
              </w:rPr>
            </w:pPr>
          </w:p>
        </w:tc>
        <w:tc>
          <w:tcPr>
            <w:tcW w:w="860" w:type="dxa"/>
            <w:vAlign w:val="bottom"/>
            <w:tcBorders>
              <w:top w:val="single" w:sz="8" w:color="1E1E1E"/>
            </w:tcBorders>
            <w:shd w:val="clear" w:color="auto" w:fill="E4E4E4"/>
          </w:tcPr>
          <w:p>
            <w:pPr>
              <w:spacing w:after="0"/>
              <w:rPr>
                <w:sz w:val="17"/>
                <w:szCs w:val="17"/>
                <w:color w:val="auto"/>
              </w:rPr>
            </w:pPr>
          </w:p>
        </w:tc>
        <w:tc>
          <w:tcPr>
            <w:tcW w:w="200" w:type="dxa"/>
            <w:vAlign w:val="bottom"/>
            <w:tcBorders>
              <w:top w:val="single" w:sz="8" w:color="E4E4E4"/>
            </w:tcBorders>
            <w:shd w:val="clear" w:color="auto" w:fill="E4E4E4"/>
          </w:tcPr>
          <w:p>
            <w:pPr>
              <w:spacing w:after="0"/>
              <w:rPr>
                <w:sz w:val="17"/>
                <w:szCs w:val="17"/>
                <w:color w:val="auto"/>
              </w:rPr>
            </w:pPr>
          </w:p>
        </w:tc>
        <w:tc>
          <w:tcPr>
            <w:tcW w:w="260" w:type="dxa"/>
            <w:vAlign w:val="bottom"/>
            <w:tcBorders>
              <w:top w:val="single" w:sz="8" w:color="1E1E1E"/>
            </w:tcBorders>
            <w:shd w:val="clear" w:color="auto" w:fill="E4E4E4"/>
          </w:tcPr>
          <w:p>
            <w:pPr>
              <w:spacing w:after="0"/>
              <w:rPr>
                <w:sz w:val="17"/>
                <w:szCs w:val="17"/>
                <w:color w:val="auto"/>
              </w:rPr>
            </w:pPr>
          </w:p>
        </w:tc>
        <w:tc>
          <w:tcPr>
            <w:tcW w:w="820" w:type="dxa"/>
            <w:vAlign w:val="bottom"/>
            <w:tcBorders>
              <w:top w:val="single" w:sz="8" w:color="1E1E1E"/>
            </w:tcBorders>
            <w:shd w:val="clear" w:color="auto" w:fill="E4E4E4"/>
          </w:tcPr>
          <w:p>
            <w:pPr>
              <w:spacing w:after="0"/>
              <w:rPr>
                <w:sz w:val="17"/>
                <w:szCs w:val="17"/>
                <w:color w:val="auto"/>
              </w:rPr>
            </w:pPr>
          </w:p>
        </w:tc>
        <w:tc>
          <w:tcPr>
            <w:tcW w:w="80" w:type="dxa"/>
            <w:vAlign w:val="bottom"/>
            <w:tcBorders>
              <w:top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exchange rate changes)</w:t>
            </w:r>
          </w:p>
        </w:tc>
        <w:tc>
          <w:tcPr>
            <w:tcW w:w="120" w:type="dxa"/>
            <w:vAlign w:val="bottom"/>
            <w:shd w:val="clear" w:color="auto" w:fill="E4E4E4"/>
          </w:tcPr>
          <w:p>
            <w:pPr>
              <w:spacing w:after="0"/>
              <w:rPr>
                <w:sz w:val="21"/>
                <w:szCs w:val="21"/>
                <w:color w:val="auto"/>
              </w:rPr>
            </w:pPr>
          </w:p>
        </w:tc>
        <w:tc>
          <w:tcPr>
            <w:tcW w:w="240" w:type="dxa"/>
            <w:vAlign w:val="bottom"/>
            <w:tcBorders>
              <w:bottom w:val="single" w:sz="8" w:color="1E1E1E"/>
            </w:tcBorders>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(16,176</w:t>
            </w:r>
          </w:p>
        </w:tc>
        <w:tc>
          <w:tcPr>
            <w:tcW w:w="220" w:type="dxa"/>
            <w:vAlign w:val="bottom"/>
            <w:shd w:val="clear" w:color="auto" w:fill="E4E4E4"/>
          </w:tcPr>
          <w:p>
            <w:pPr>
              <w:jc w:val="right"/>
              <w:ind w:right="80"/>
              <w:spacing w:after="0"/>
              <w:rPr>
                <w:sz w:val="20"/>
                <w:szCs w:val="20"/>
                <w:color w:val="auto"/>
              </w:rPr>
            </w:pPr>
            <w:r>
              <w:rPr>
                <w:rFonts w:ascii="Times New Roman" w:cs="Times New Roman" w:eastAsia="Times New Roman" w:hAnsi="Times New Roman"/>
                <w:sz w:val="16"/>
                <w:szCs w:val="16"/>
                <w:color w:val="1E1E1E"/>
                <w:w w:val="74"/>
              </w:rPr>
              <w:t>)</w:t>
            </w:r>
          </w:p>
        </w:tc>
        <w:tc>
          <w:tcPr>
            <w:tcW w:w="220" w:type="dxa"/>
            <w:vAlign w:val="bottom"/>
            <w:tcBorders>
              <w:bottom w:val="single" w:sz="8" w:color="1E1E1E"/>
            </w:tcBorders>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(240,020</w:t>
            </w:r>
          </w:p>
        </w:tc>
        <w:tc>
          <w:tcPr>
            <w:tcW w:w="20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w w:val="74"/>
              </w:rPr>
              <w:t>)</w:t>
            </w:r>
          </w:p>
        </w:tc>
        <w:tc>
          <w:tcPr>
            <w:tcW w:w="260" w:type="dxa"/>
            <w:vAlign w:val="bottom"/>
            <w:tcBorders>
              <w:bottom w:val="single" w:sz="8" w:color="1E1E1E"/>
            </w:tcBorders>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362,853</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Cash Flows provided by Operating Activities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Net cash provided by operating activities was $41.2 million during the year ended December 31, 2023, primarily as a</w:t>
      </w:r>
    </w:p>
    <w:p>
      <w:pPr>
        <w:spacing w:after="0"/>
        <w:rPr>
          <w:sz w:val="20"/>
          <w:szCs w:val="20"/>
          <w:color w:val="auto"/>
        </w:rPr>
      </w:pPr>
      <w:r>
        <w:rPr>
          <w:rFonts w:ascii="Times New Roman" w:cs="Times New Roman" w:eastAsia="Times New Roman" w:hAnsi="Times New Roman"/>
          <w:sz w:val="20"/>
          <w:szCs w:val="20"/>
          <w:color w:val="1E1E1E"/>
        </w:rPr>
        <w:t>result of a net loss of $289.6 million and a $30.4 million net decrease in our operating assets and liabilities, offset by non-cash</w:t>
      </w:r>
    </w:p>
    <w:p>
      <w:pPr>
        <w:spacing w:after="0"/>
        <w:rPr>
          <w:sz w:val="20"/>
          <w:szCs w:val="20"/>
          <w:color w:val="auto"/>
        </w:rPr>
      </w:pPr>
      <w:r>
        <w:rPr>
          <w:rFonts w:ascii="Times New Roman" w:cs="Times New Roman" w:eastAsia="Times New Roman" w:hAnsi="Times New Roman"/>
          <w:sz w:val="20"/>
          <w:szCs w:val="20"/>
          <w:color w:val="1E1E1E"/>
        </w:rPr>
        <w:t>charges of $361.2 million. The non-cash charges were primarily comprised of a $287.4 million goodwill impairment charge</w:t>
      </w:r>
    </w:p>
    <w:p>
      <w:pPr>
        <w:spacing w:after="0"/>
        <w:rPr>
          <w:sz w:val="20"/>
          <w:szCs w:val="20"/>
          <w:color w:val="auto"/>
        </w:rPr>
      </w:pPr>
      <w:r>
        <w:rPr>
          <w:rFonts w:ascii="Times New Roman" w:cs="Times New Roman" w:eastAsia="Times New Roman" w:hAnsi="Times New Roman"/>
          <w:sz w:val="20"/>
          <w:szCs w:val="20"/>
          <w:color w:val="1E1E1E"/>
        </w:rPr>
        <w:t>recorded during the third quarter of 2023, amortization of intangible assets of $49.8 million, equity compensation costs of</w:t>
      </w:r>
    </w:p>
    <w:p>
      <w:pPr>
        <w:spacing w:after="0"/>
        <w:rPr>
          <w:sz w:val="20"/>
          <w:szCs w:val="20"/>
          <w:color w:val="auto"/>
        </w:rPr>
      </w:pPr>
      <w:r>
        <w:rPr>
          <w:rFonts w:ascii="Times New Roman" w:cs="Times New Roman" w:eastAsia="Times New Roman" w:hAnsi="Times New Roman"/>
          <w:sz w:val="20"/>
          <w:szCs w:val="20"/>
          <w:color w:val="1E1E1E"/>
        </w:rPr>
        <w:t>$48.7 million, and a gain on remeasurement of the TRA of $23.5 million. The net decrease in operating assets and liabilities of</w:t>
      </w:r>
    </w:p>
    <w:p>
      <w:pPr>
        <w:spacing w:after="0"/>
        <w:rPr>
          <w:sz w:val="20"/>
          <w:szCs w:val="20"/>
          <w:color w:val="auto"/>
        </w:rPr>
      </w:pPr>
      <w:r>
        <w:rPr>
          <w:rFonts w:ascii="Times New Roman" w:cs="Times New Roman" w:eastAsia="Times New Roman" w:hAnsi="Times New Roman"/>
          <w:sz w:val="20"/>
          <w:szCs w:val="20"/>
          <w:color w:val="1E1E1E"/>
        </w:rPr>
        <w:t>$30.4 million for the year ended December 31, 2023 was primarily driven by an increase in deferred contract costs of $18.8</w:t>
      </w:r>
    </w:p>
    <w:p>
      <w:pPr>
        <w:spacing w:after="0"/>
        <w:rPr>
          <w:sz w:val="20"/>
          <w:szCs w:val="20"/>
          <w:color w:val="auto"/>
        </w:rPr>
      </w:pPr>
      <w:r>
        <w:rPr>
          <w:rFonts w:ascii="Times New Roman" w:cs="Times New Roman" w:eastAsia="Times New Roman" w:hAnsi="Times New Roman"/>
          <w:sz w:val="20"/>
          <w:szCs w:val="20"/>
          <w:color w:val="1E1E1E"/>
        </w:rPr>
        <w:t>million, an increase in prepaid expenses and other assets of $7.2 million, and a decrease in deferred revenue of $6.6 million due</w:t>
      </w:r>
    </w:p>
    <w:p>
      <w:pPr>
        <w:spacing w:after="0"/>
        <w:rPr>
          <w:sz w:val="20"/>
          <w:szCs w:val="20"/>
          <w:color w:val="auto"/>
        </w:rPr>
      </w:pPr>
      <w:r>
        <w:rPr>
          <w:rFonts w:ascii="Times New Roman" w:cs="Times New Roman" w:eastAsia="Times New Roman" w:hAnsi="Times New Roman"/>
          <w:sz w:val="20"/>
          <w:szCs w:val="20"/>
          <w:color w:val="1E1E1E"/>
        </w:rPr>
        <w:t>to the timing of billings and cash received in advance of revenue recognition for subscription services. These factors were</w:t>
      </w:r>
    </w:p>
    <w:p>
      <w:pPr>
        <w:spacing w:after="0"/>
        <w:rPr>
          <w:sz w:val="20"/>
          <w:szCs w:val="20"/>
          <w:color w:val="auto"/>
        </w:rPr>
      </w:pPr>
      <w:r>
        <w:rPr>
          <w:rFonts w:ascii="Times New Roman" w:cs="Times New Roman" w:eastAsia="Times New Roman" w:hAnsi="Times New Roman"/>
          <w:sz w:val="20"/>
          <w:szCs w:val="20"/>
          <w:color w:val="1E1E1E"/>
        </w:rPr>
        <w:t>partially offset by cash inflows resulting from an increase in accounts payable, accrued expenses, and other liabilities,</w:t>
      </w:r>
    </w:p>
    <w:p>
      <w:pPr>
        <w:spacing w:after="0"/>
        <w:rPr>
          <w:sz w:val="20"/>
          <w:szCs w:val="20"/>
          <w:color w:val="auto"/>
        </w:rPr>
      </w:pPr>
      <w:r>
        <w:rPr>
          <w:rFonts w:ascii="Times New Roman" w:cs="Times New Roman" w:eastAsia="Times New Roman" w:hAnsi="Times New Roman"/>
          <w:sz w:val="20"/>
          <w:szCs w:val="20"/>
          <w:color w:val="1E1E1E"/>
        </w:rPr>
        <w:t>collectively, of $1.3 million and a decrease in accounts receivable of $0.8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Cash Flows used in Investing Activities</w:t>
      </w:r>
    </w:p>
    <w:p>
      <w:pPr>
        <w:spacing w:after="0" w:line="11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Cash used in investing activities during the year ended December 31, 2023 was $31.8 million, driven primarily by $259.2 million in purchases of short-term investments and $45.0 million in cash paid for the acquisition of Populi, net of cash acquired, partially offset by $275.4 million in maturities of short-term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Cash Flows used in Financing Activities</w:t>
      </w:r>
    </w:p>
    <w:p>
      <w:pPr>
        <w:spacing w:after="0" w:line="117" w:lineRule="exact"/>
        <w:rPr>
          <w:sz w:val="20"/>
          <w:szCs w:val="20"/>
          <w:color w:val="auto"/>
        </w:rPr>
      </w:pPr>
    </w:p>
    <w:p>
      <w:pPr>
        <w:jc w:val="both"/>
        <w:ind w:right="20" w:firstLine="490"/>
        <w:spacing w:after="0" w:line="259" w:lineRule="auto"/>
        <w:rPr>
          <w:sz w:val="20"/>
          <w:szCs w:val="20"/>
          <w:color w:val="auto"/>
        </w:rPr>
      </w:pPr>
      <w:r>
        <w:rPr>
          <w:rFonts w:ascii="Times New Roman" w:cs="Times New Roman" w:eastAsia="Times New Roman" w:hAnsi="Times New Roman"/>
          <w:sz w:val="20"/>
          <w:szCs w:val="20"/>
          <w:color w:val="1E1E1E"/>
        </w:rPr>
        <w:t>Cash used in financing activities during the year ended December 31, 2023 was $25.6 million, primarily driven by $12.3 million in tax distribution payments to noncontrolling interest members, repayments of the 2021 Term Loan (as defined below) of $8.6 million, and taxes paid related to the net share settlement of equity awards of $4.4 million.</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 xml:space="preserve">Refer to </w:t>
      </w:r>
      <w:r>
        <w:rPr>
          <w:rFonts w:ascii="Times New Roman" w:cs="Times New Roman" w:eastAsia="Times New Roman" w:hAnsi="Times New Roman"/>
          <w:sz w:val="20"/>
          <w:szCs w:val="20"/>
          <w:i w:val="1"/>
          <w:iCs w:val="1"/>
          <w:color w:val="1E1E1E"/>
        </w:rPr>
        <w:t>Debt Obligations</w:t>
      </w:r>
      <w:r>
        <w:rPr>
          <w:rFonts w:ascii="Times New Roman" w:cs="Times New Roman" w:eastAsia="Times New Roman" w:hAnsi="Times New Roman"/>
          <w:sz w:val="20"/>
          <w:szCs w:val="20"/>
          <w:color w:val="1E1E1E"/>
        </w:rPr>
        <w:t xml:space="preserve"> for additional information related to our debt obligations.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220"/>
          </w:cols>
          <w:pgMar w:left="820" w:top="808" w:right="84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1E1E1E"/>
        </w:rPr>
        <w:t>Debt Obligations</w:t>
      </w:r>
    </w:p>
    <w:p>
      <w:pPr>
        <w:spacing w:after="0" w:line="11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thereunder are guaranteed by all of DH Holdings’ wholly owned domestic restricted subsidiaries and AIDH Buyer, the direct parent company of DH Holdings, in each case, subject to customary exceptions, and are secured by a lien on substantially all of the assets of DH Holdings and such guarantors, including a pledge of the equity of DH Holdings, in each case, subject to customary exceptions.</w:t>
      </w:r>
    </w:p>
    <w:p>
      <w:pPr>
        <w:spacing w:after="0" w:line="80"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The 2021 Term Loan is for $275.0 million and has a maturity date of September 17, 2026. The 2021 Term Loan was recorded net of $3.5 million in issuance costs. The issuance costs are amortized to interest expense over the term of the 2021 Term Loan using the effective interest method.</w:t>
      </w:r>
    </w:p>
    <w:p>
      <w:pPr>
        <w:spacing w:after="0" w:line="65"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$257.8 million outstanding on the 2021 Term Loan at December 31, 2023.</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2021 Revolving Line of Credit is committed for $75.0 million and has a maturity date of September 17, 2026. There was no outstanding balance on the 2021 Revolving Line of Credit as of December 31, 2023 and 2022. During the quarter ended December 31, 2023, the lessor of the Company</w:t>
      </w:r>
      <w:r>
        <w:rPr>
          <w:rFonts w:ascii="Times New Roman" w:cs="Times New Roman" w:eastAsia="Times New Roman" w:hAnsi="Times New Roman"/>
          <w:sz w:val="18"/>
          <w:szCs w:val="18"/>
          <w:color w:val="1E1E1E"/>
        </w:rPr>
        <w:t>’</w:t>
      </w:r>
      <w:r>
        <w:rPr>
          <w:rFonts w:ascii="Times New Roman" w:cs="Times New Roman" w:eastAsia="Times New Roman" w:hAnsi="Times New Roman"/>
          <w:sz w:val="20"/>
          <w:szCs w:val="20"/>
          <w:color w:val="1E1E1E"/>
        </w:rPr>
        <w:t>s corporate headquarters transitioned from one entity to another. As a result, in lieu of a security deposit, the Company provided a standby letter of credit of $0.6 million, which reduces the amount available under our revolving credit facility to $74.4 million.</w:t>
      </w:r>
    </w:p>
    <w:p>
      <w:pPr>
        <w:spacing w:after="0" w:line="77" w:lineRule="exact"/>
        <w:rPr>
          <w:sz w:val="20"/>
          <w:szCs w:val="20"/>
          <w:color w:val="auto"/>
        </w:rPr>
      </w:pPr>
    </w:p>
    <w:p>
      <w:pPr>
        <w:ind w:right="40" w:firstLine="490"/>
        <w:spacing w:after="0" w:line="279" w:lineRule="auto"/>
        <w:rPr>
          <w:sz w:val="20"/>
          <w:szCs w:val="20"/>
          <w:color w:val="auto"/>
        </w:rPr>
      </w:pPr>
      <w:r>
        <w:rPr>
          <w:rFonts w:ascii="Times New Roman" w:cs="Times New Roman" w:eastAsia="Times New Roman" w:hAnsi="Times New Roman"/>
          <w:sz w:val="20"/>
          <w:szCs w:val="20"/>
          <w:color w:val="1E1E1E"/>
        </w:rPr>
        <w:t>On October 31, 2022, the Company amended the 2021 Credit Agreement to replace the LIBO rate with Term SOFR plus an applicable rate.</w:t>
      </w:r>
    </w:p>
    <w:p>
      <w:pPr>
        <w:spacing w:after="0" w:line="45"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1E1E1E"/>
        </w:rPr>
        <w:t>The 2021 Credit Agreement includes certain customary financial covenants, and the Company was compliant with its financial covenants under the 2021 Credit Agreement as of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Financing Obligations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 xml:space="preserve">Financing obligations generally include repayment of principal amounts of our term loan (as detailed above in “Debt Obligations”), lease payments and purchase obligations. The leases relate to office facilities and expire at various times through 2029. The lease obligations include $2.7 million to be paid in 2024 and $10.2 million thereafter. Refer to Note 5. </w:t>
      </w:r>
      <w:r>
        <w:rPr>
          <w:rFonts w:ascii="Times New Roman" w:cs="Times New Roman" w:eastAsia="Times New Roman" w:hAnsi="Times New Roman"/>
          <w:sz w:val="20"/>
          <w:szCs w:val="20"/>
          <w:i w:val="1"/>
          <w:iCs w:val="1"/>
          <w:color w:val="1E1E1E"/>
        </w:rPr>
        <w:t>Leases</w:t>
      </w:r>
      <w:r>
        <w:rPr>
          <w:rFonts w:ascii="Times New Roman" w:cs="Times New Roman" w:eastAsia="Times New Roman" w:hAnsi="Times New Roman"/>
          <w:sz w:val="20"/>
          <w:szCs w:val="20"/>
          <w:color w:val="1E1E1E"/>
        </w:rPr>
        <w:t xml:space="preserve"> within the accompanying consolidated financial statements for further information. Estimated purchase commitments, which currently run through 2026, are $17.6 million in 2024 and $15.9 million thereafter. Refer to Note 14. </w:t>
      </w:r>
      <w:r>
        <w:rPr>
          <w:rFonts w:ascii="Times New Roman" w:cs="Times New Roman" w:eastAsia="Times New Roman" w:hAnsi="Times New Roman"/>
          <w:sz w:val="20"/>
          <w:szCs w:val="20"/>
          <w:i w:val="1"/>
          <w:iCs w:val="1"/>
          <w:color w:val="1E1E1E"/>
        </w:rPr>
        <w:t>Commitments and Contingencies</w:t>
      </w:r>
      <w:r>
        <w:rPr>
          <w:rFonts w:ascii="Times New Roman" w:cs="Times New Roman" w:eastAsia="Times New Roman" w:hAnsi="Times New Roman"/>
          <w:sz w:val="20"/>
          <w:szCs w:val="20"/>
          <w:color w:val="1E1E1E"/>
        </w:rPr>
        <w:t xml:space="preserve"> within the accompanying consolidated financial statements for further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Tax Receivable Agreement (</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TRA</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w:t>
      </w:r>
    </w:p>
    <w:p>
      <w:pPr>
        <w:spacing w:after="0" w:line="123"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E1E1E"/>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w:t>
      </w:r>
    </w:p>
    <w:p>
      <w:pPr>
        <w:sectPr>
          <w:pgSz w:w="11880" w:h="15480" w:orient="portrait"/>
          <w:cols w:equalWidth="0" w:num="1">
            <w:col w:w="10220"/>
          </w:cols>
          <w:pgMar w:left="820" w:top="808" w:right="840" w:bottom="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63</w:t>
      </w:r>
    </w:p>
    <w:p>
      <w:pPr>
        <w:sectPr>
          <w:pgSz w:w="11880" w:h="15480" w:orient="portrait"/>
          <w:cols w:equalWidth="0" w:num="1">
            <w:col w:w="10220"/>
          </w:cols>
          <w:pgMar w:left="820" w:top="808" w:right="840" w:bottom="0" w:gutter="0" w:footer="0" w:header="0"/>
          <w:type w:val="continuous"/>
        </w:sectPr>
      </w:pPr>
    </w:p>
    <w:bookmarkStart w:id="69" w:name="page70"/>
    <w:bookmarkEnd w:id="69"/>
    <w:p>
      <w:pPr>
        <w:ind w:right="60"/>
        <w:spacing w:after="0" w:line="243" w:lineRule="auto"/>
        <w:rPr>
          <w:sz w:val="20"/>
          <w:szCs w:val="20"/>
          <w:color w:val="auto"/>
        </w:rPr>
      </w:pPr>
      <w:r>
        <w:rPr>
          <w:rFonts w:ascii="Times New Roman" w:cs="Times New Roman" w:eastAsia="Times New Roman" w:hAnsi="Times New Roman"/>
          <w:sz w:val="20"/>
          <w:szCs w:val="20"/>
          <w:color w:val="1E1E1E"/>
        </w:rPr>
        <w:t>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86"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19 in our consolidated financial statements included in Part II, Item 8 of this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Capital Expenditures</w:t>
      </w:r>
    </w:p>
    <w:p>
      <w:pPr>
        <w:spacing w:after="0" w:line="123" w:lineRule="exact"/>
        <w:rPr>
          <w:sz w:val="20"/>
          <w:szCs w:val="20"/>
          <w:color w:val="auto"/>
        </w:rPr>
      </w:pPr>
    </w:p>
    <w:p>
      <w:pPr>
        <w:jc w:val="both"/>
        <w:ind w:right="160" w:firstLine="490"/>
        <w:spacing w:after="0" w:line="259" w:lineRule="auto"/>
        <w:rPr>
          <w:sz w:val="20"/>
          <w:szCs w:val="20"/>
          <w:color w:val="auto"/>
        </w:rPr>
      </w:pPr>
      <w:r>
        <w:rPr>
          <w:rFonts w:ascii="Times New Roman" w:cs="Times New Roman" w:eastAsia="Times New Roman" w:hAnsi="Times New Roman"/>
          <w:sz w:val="20"/>
          <w:szCs w:val="20"/>
          <w:color w:val="1E1E1E"/>
        </w:rPr>
        <w:t>Capital expenditures decreased by $5.3 million to $3.0 million for the year ended December 31, 2023 compared to $8.3 million for the same period in the prior year, primarily driven by lower spend on historical data purchases in the current year compared with the comparable prior year period.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Off-Balance Sheet Arrangements</w:t>
      </w:r>
    </w:p>
    <w:p>
      <w:pPr>
        <w:spacing w:after="0" w:line="123" w:lineRule="exact"/>
        <w:rPr>
          <w:sz w:val="20"/>
          <w:szCs w:val="20"/>
          <w:color w:val="auto"/>
        </w:rPr>
      </w:pPr>
    </w:p>
    <w:p>
      <w:pPr>
        <w:ind w:right="500" w:firstLine="490"/>
        <w:spacing w:after="0" w:line="279" w:lineRule="auto"/>
        <w:rPr>
          <w:sz w:val="20"/>
          <w:szCs w:val="20"/>
          <w:color w:val="auto"/>
        </w:rPr>
      </w:pPr>
      <w:r>
        <w:rPr>
          <w:rFonts w:ascii="Times New Roman" w:cs="Times New Roman" w:eastAsia="Times New Roman" w:hAnsi="Times New Roman"/>
          <w:sz w:val="20"/>
          <w:szCs w:val="20"/>
          <w:color w:val="1E1E1E"/>
        </w:rPr>
        <w:t>As a requirement of our lease agreement for our corporate headquarters, in lieu of a security deposit, we provided a standby letter of credit of $0.6 million, which is effective through March 2038.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Accounting Policies and Estimates</w:t>
      </w:r>
    </w:p>
    <w:p>
      <w:pPr>
        <w:spacing w:after="0" w:line="123" w:lineRule="exact"/>
        <w:rPr>
          <w:sz w:val="20"/>
          <w:szCs w:val="20"/>
          <w:color w:val="auto"/>
        </w:rPr>
      </w:pPr>
    </w:p>
    <w:p>
      <w:pPr>
        <w:jc w:val="both"/>
        <w:ind w:right="40" w:firstLine="490"/>
        <w:spacing w:after="0" w:line="253" w:lineRule="auto"/>
        <w:rPr>
          <w:sz w:val="20"/>
          <w:szCs w:val="20"/>
          <w:color w:val="auto"/>
        </w:rPr>
      </w:pPr>
      <w:r>
        <w:rPr>
          <w:rFonts w:ascii="Times New Roman" w:cs="Times New Roman" w:eastAsia="Times New Roman" w:hAnsi="Times New Roman"/>
          <w:sz w:val="20"/>
          <w:szCs w:val="20"/>
          <w:color w:val="1E1E1E"/>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spacing w:after="0" w:line="7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E1E1E"/>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spacing w:after="0" w:line="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 xml:space="preserve">While our significant accounting policies are discussed more fully in Note 2. </w:t>
      </w:r>
      <w:r>
        <w:rPr>
          <w:rFonts w:ascii="Times New Roman" w:cs="Times New Roman" w:eastAsia="Times New Roman" w:hAnsi="Times New Roman"/>
          <w:sz w:val="20"/>
          <w:szCs w:val="20"/>
          <w:i w:val="1"/>
          <w:iCs w:val="1"/>
          <w:color w:val="1E1E1E"/>
        </w:rPr>
        <w:t>Summary of Significant Accounting Policies</w:t>
      </w:r>
      <w:r>
        <w:rPr>
          <w:rFonts w:ascii="Times New Roman" w:cs="Times New Roman" w:eastAsia="Times New Roman" w:hAnsi="Times New Roman"/>
          <w:sz w:val="20"/>
          <w:szCs w:val="20"/>
          <w:color w:val="1E1E1E"/>
        </w:rPr>
        <w:t xml:space="preserve"> in the accompanying consolidated financial statements,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ectPr>
          <w:pgSz w:w="11880" w:h="15480" w:orient="portrait"/>
          <w:cols w:equalWidth="0" w:num="1">
            <w:col w:w="10220"/>
          </w:cols>
          <w:pgMar w:left="820" w:top="80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220"/>
          </w:cols>
          <w:pgMar w:left="820" w:top="806" w:right="84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18"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We derive our revenue primarily from subscription license fees charged for access to our database platform, and professional services. The customer arrangements include a promise to allow customers to access a subscription license to the database platform which is hosted by us over the contract period, without allowing the customer to take possession of the subscription license or transfer hosting to a third party.</w:t>
      </w:r>
    </w:p>
    <w:p>
      <w:pPr>
        <w:spacing w:after="0" w:line="7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We recognize revenue in accordance with ASC 606–</w:t>
      </w:r>
      <w:r>
        <w:rPr>
          <w:rFonts w:ascii="Times New Roman" w:cs="Times New Roman" w:eastAsia="Times New Roman" w:hAnsi="Times New Roman"/>
          <w:sz w:val="20"/>
          <w:szCs w:val="20"/>
          <w:i w:val="1"/>
          <w:iCs w:val="1"/>
          <w:color w:val="1E1E1E"/>
        </w:rPr>
        <w:t>Revenue from Contracts with Customers</w:t>
      </w:r>
      <w:r>
        <w:rPr>
          <w:rFonts w:ascii="Times New Roman" w:cs="Times New Roman" w:eastAsia="Times New Roman" w:hAnsi="Times New Roman"/>
          <w:sz w:val="20"/>
          <w:szCs w:val="20"/>
          <w:color w:val="1E1E1E"/>
        </w:rPr>
        <w:t>, which provides a five-step model for recognizing revenue from contracts with customers. Revenue is recognized upon transfer of control of promised services to customers in an amount that reflects the consideration we expect to receive in exchange for those services.</w:t>
      </w:r>
    </w:p>
    <w:p>
      <w:pPr>
        <w:spacing w:after="0" w:line="65" w:lineRule="exact"/>
        <w:rPr>
          <w:sz w:val="20"/>
          <w:szCs w:val="20"/>
          <w:color w:val="auto"/>
        </w:rPr>
      </w:pPr>
    </w:p>
    <w:p>
      <w:pPr>
        <w:jc w:val="both"/>
        <w:ind w:right="180" w:firstLine="490"/>
        <w:spacing w:after="0" w:line="259" w:lineRule="auto"/>
        <w:rPr>
          <w:sz w:val="20"/>
          <w:szCs w:val="20"/>
          <w:color w:val="auto"/>
        </w:rPr>
      </w:pPr>
      <w:r>
        <w:rPr>
          <w:rFonts w:ascii="Times New Roman" w:cs="Times New Roman" w:eastAsia="Times New Roman" w:hAnsi="Times New Roman"/>
          <w:sz w:val="20"/>
          <w:szCs w:val="20"/>
          <w:color w:val="1E1E1E"/>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65"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We also enter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w:t>
      </w:r>
    </w:p>
    <w:p>
      <w:pPr>
        <w:spacing w:after="0" w:line="65"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When a contract contains multiple performance obligations, the contract transaction price is allocated on a relative standalone selling price (“SSP”) basis to each performance obligation. We typically determine SSP based on observable selling prices of our products and services. In instances where SSP is not directly observable, SSP is determined using information that may include market conditions and other observable inputs, or by using the residual approach.</w:t>
      </w:r>
    </w:p>
    <w:p>
      <w:pPr>
        <w:spacing w:after="0" w:line="7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We account for an arrangement when it has approval and commitment from both parties, the rights are identified, the contract has commercial substance, and collectability of consideration is probable. We generally obtain written purchase contracts from our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we have determined that in such cases, a significant financing component generally does not exist. We have elected the practical expedient that permits an entity not to recognize a significant financing component if the time between the transfer of a good or service and payment is one year or less. Payment terms on invoiced amounts are typically 30 days. We do not offer rights of return for our products and services in the normal course of business, and contracts generally do not include customer acceptance clauses.</w:t>
      </w:r>
    </w:p>
    <w:p>
      <w:pPr>
        <w:spacing w:after="0" w:line="8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We estimate the amount of variable consideration at the expected value based on our assessment of legal enforceability, anticipated performance, and a review of specific transactions, historical experience, and market and economic conditions. We historically have not experienced any significant incidents that affected the defined levels of reliability and performance as required by the contracts.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220"/>
          </w:cols>
          <w:pgMar w:left="820" w:top="808" w:right="84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1E1E1E"/>
        </w:rPr>
        <w:t>Acquisitions</w:t>
      </w:r>
    </w:p>
    <w:p>
      <w:pPr>
        <w:spacing w:after="0" w:line="11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E1E1E"/>
        </w:rPr>
        <w:t>We account for business combinations using the acquisition method in accordance with ASC 805—Business Combinations.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7"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Derivative Instruments and Hedging Activities</w:t>
      </w:r>
    </w:p>
    <w:p>
      <w:pPr>
        <w:spacing w:after="0" w:line="118"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E1E1E"/>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economically hedge certain of its risk, even though hedge accounting does not apply or we elect not to apply hedge accounting. We measure the credit risk of our derivative financial instruments that are subject to master netting agreements on a net basis by counterparty portfolio.</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220"/>
          </w:cols>
          <w:pgMar w:left="820" w:top="808" w:right="84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 and Intangible Assets</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7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A reporting unit is an operating segment or a component of an operating segment. We first assess qualitative and quantitative factors to evaluate whether it is more likely than not that the fair value of a reporting unit is less than the carrying amount, or we may elect to bypass such assessment. If it is determined that it is more likely than not that the fair value of the reporting unit is less than its carrying value, or if we elect to bypass the qualitative assessment, our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our market capitalization plus an appropriate control premium. Market capitalization is determined by multiplying the number of shares of Class A Common Stock outstanding by the market price of our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We perform our annual impairment assessment in the first month of the fourth quarter of each calendar year.</w:t>
      </w:r>
    </w:p>
    <w:p>
      <w:pPr>
        <w:spacing w:after="0" w:line="83"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Definite-lived intangible assets are amortized over their estimated useful lives, which represent the period over which we expect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Customer relationships</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1E1E1E"/>
                <w:w w:val="96"/>
              </w:rPr>
              <w:t>14 – 20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Technology</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1E1E1E"/>
                <w:w w:val="99"/>
              </w:rPr>
              <w:t>6</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 8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Tradenames / trademark</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1E1E1E"/>
                <w:w w:val="99"/>
              </w:rPr>
              <w:t>5</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 19 years</w:t>
            </w:r>
          </w:p>
        </w:tc>
      </w:tr>
      <w:tr>
        <w:trPr>
          <w:trHeight w:val="268"/>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Data</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1E1E1E"/>
              </w:rPr>
              <w:t>3 years</w:t>
            </w:r>
          </w:p>
        </w:tc>
      </w:tr>
    </w:tbl>
    <w:p>
      <w:pPr>
        <w:spacing w:after="0" w:line="202"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a non-cash, pretax, goodwill impairment charge of $287.4 million. The goodwill impairment charge did not affect our liquidity or the financial covenants in our outstanding debt agreement.</w:t>
      </w:r>
    </w:p>
    <w:p>
      <w:pPr>
        <w:spacing w:after="0" w:line="77"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 xml:space="preserve">During the quarter ended December 31, 2023, we performed a quantitative assessment and concluded that the fair value of our single reporting unit exceeded its carrying value as of December 31, 2023. We will continue to monitor for potential impairment should impairment indicators arise. Refer to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 xml:space="preserve"> in the accompanying consolidated financial statements for further details.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Impairment of Long-Lived Assets</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ectPr>
          <w:pgSz w:w="11880" w:h="15480" w:orient="portrait"/>
          <w:cols w:equalWidth="0" w:num="1">
            <w:col w:w="10200"/>
          </w:cols>
          <w:pgMar w:left="820" w:top="80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200"/>
          </w:cols>
          <w:pgMar w:left="820" w:top="808" w:right="86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1E1E1E"/>
        </w:rPr>
        <w:t>Accounting for Income Taxes</w:t>
      </w:r>
    </w:p>
    <w:p>
      <w:pPr>
        <w:spacing w:after="0" w:line="118"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1E1E1E"/>
        </w:rPr>
        <w:t>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w:t>
      </w:r>
    </w:p>
    <w:p>
      <w:pPr>
        <w:spacing w:after="0" w:line="7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AW and its wholly-owned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w:t>
      </w:r>
    </w:p>
    <w:p>
      <w:pPr>
        <w:spacing w:after="0" w:line="7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we expect to be significant. We anticipate that we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 xml:space="preserve">Further, we account for amounts payable under the Tax Receivable Agreement in accordance with ASC 450— </w:t>
      </w:r>
      <w:r>
        <w:rPr>
          <w:rFonts w:ascii="Times New Roman" w:cs="Times New Roman" w:eastAsia="Times New Roman" w:hAnsi="Times New Roman"/>
          <w:sz w:val="20"/>
          <w:szCs w:val="20"/>
          <w:i w:val="1"/>
          <w:iCs w:val="1"/>
          <w:color w:val="1E1E1E"/>
        </w:rPr>
        <w:t>Contingencies</w:t>
      </w:r>
      <w:r>
        <w:rPr>
          <w:rFonts w:ascii="Times New Roman" w:cs="Times New Roman" w:eastAsia="Times New Roman" w:hAnsi="Times New Roman"/>
          <w:sz w:val="20"/>
          <w:szCs w:val="20"/>
          <w:color w:val="1E1E1E"/>
        </w:rPr>
        <w:t>. The amounts to be recorded for both the deferred tax assets and the liability for our obligations under the Tax</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Receivable Agreement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spacing w:after="0" w:line="65"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Under the provisions of ASC 740—</w:t>
      </w:r>
      <w:r>
        <w:rPr>
          <w:rFonts w:ascii="Times New Roman" w:cs="Times New Roman" w:eastAsia="Times New Roman" w:hAnsi="Times New Roman"/>
          <w:sz w:val="20"/>
          <w:szCs w:val="20"/>
          <w:i w:val="1"/>
          <w:iCs w:val="1"/>
          <w:color w:val="1E1E1E"/>
        </w:rPr>
        <w:t>Income Taxes</w:t>
      </w:r>
      <w:r>
        <w:rPr>
          <w:rFonts w:ascii="Times New Roman" w:cs="Times New Roman" w:eastAsia="Times New Roman" w:hAnsi="Times New Roman"/>
          <w:sz w:val="20"/>
          <w:szCs w:val="20"/>
          <w:color w:val="1E1E1E"/>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2023, 2022, and 2021, we did not have any uncertain tax positions.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Recently Issued Accounting Pronouncements</w:t>
      </w:r>
    </w:p>
    <w:p>
      <w:pPr>
        <w:spacing w:after="0" w:line="123"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1E1E1E"/>
        </w:rPr>
        <w:t xml:space="preserve">For a summary of recent accounting pronouncements applicable to our consolidated financial statements, refer to Note 2. </w:t>
      </w:r>
      <w:r>
        <w:rPr>
          <w:rFonts w:ascii="Times New Roman" w:cs="Times New Roman" w:eastAsia="Times New Roman" w:hAnsi="Times New Roman"/>
          <w:sz w:val="20"/>
          <w:szCs w:val="20"/>
          <w:i w:val="1"/>
          <w:iCs w:val="1"/>
          <w:color w:val="1E1E1E"/>
        </w:rPr>
        <w:t xml:space="preserve">Summary of Significant Accounting Policies </w:t>
      </w:r>
      <w:r>
        <w:rPr>
          <w:rFonts w:ascii="Times New Roman" w:cs="Times New Roman" w:eastAsia="Times New Roman" w:hAnsi="Times New Roman"/>
          <w:sz w:val="20"/>
          <w:szCs w:val="20"/>
          <w:color w:val="1E1E1E"/>
        </w:rPr>
        <w:t>in the Notes to our consolidated financial statements included in Part II, Item 8 of</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this Form 10-K.</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220"/>
          </w:cols>
          <w:pgMar w:left="820" w:top="808" w:right="84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1E1E1E"/>
        </w:rPr>
        <w:t>Item 7A. Quantitative and Qualitative Disclosures About Market Risk.</w:t>
      </w:r>
    </w:p>
    <w:p>
      <w:pPr>
        <w:spacing w:after="0" w:line="123"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Interest Rate Risk</w:t>
      </w:r>
    </w:p>
    <w:p>
      <w:pPr>
        <w:spacing w:after="0" w:line="11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Our cash, cash equivalents and short-term investments primarily consist of cash on hand and highly liquid investments in money market funds, U.S. government securities and commercial paper. As of December 31, 2023 we had cash and cash equivalents of $131.0 million and short-term investments of $177.1 million.</w:t>
      </w:r>
    </w:p>
    <w:p>
      <w:pPr>
        <w:spacing w:after="0" w:line="65"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December 31, 2023, the total principal balance outstanding was $257.8 million. Excluding the effect of the interest rate swap agreement, a hypothetical 1.0% increase or decrease in the interest rate associated with borrowings under the 2021 Credit Agreement would result in an approximately $2.6 million impact to interest expense on an annual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Exchange Risk</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E1E1E"/>
        </w:rPr>
        <w:t>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ectPr>
          <w:pgSz w:w="11880" w:h="15480" w:orient="portrait"/>
          <w:cols w:equalWidth="0" w:num="1">
            <w:col w:w="10200"/>
          </w:cols>
          <w:pgMar w:left="820" w:top="803"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69</w:t>
      </w:r>
    </w:p>
    <w:p>
      <w:pPr>
        <w:sectPr>
          <w:pgSz w:w="11880" w:h="15480" w:orient="portrait"/>
          <w:cols w:equalWidth="0" w:num="1">
            <w:col w:w="10200"/>
          </w:cols>
          <w:pgMar w:left="820" w:top="803" w:right="8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1E1E1E"/>
        </w:rPr>
        <w:t>Item 8. Financial Statements and Supplementary Data.</w:t>
      </w:r>
    </w:p>
    <w:p>
      <w:pPr>
        <w:spacing w:after="0" w:line="123" w:lineRule="exact"/>
        <w:rPr>
          <w:sz w:val="20"/>
          <w:szCs w:val="20"/>
          <w:color w:val="auto"/>
        </w:rPr>
      </w:pPr>
    </w:p>
    <w:p>
      <w:pPr>
        <w:ind w:right="280" w:firstLine="490"/>
        <w:spacing w:after="0" w:line="279" w:lineRule="auto"/>
        <w:rPr>
          <w:sz w:val="20"/>
          <w:szCs w:val="20"/>
          <w:color w:val="auto"/>
        </w:rPr>
      </w:pPr>
      <w:r>
        <w:rPr>
          <w:rFonts w:ascii="Times New Roman" w:cs="Times New Roman" w:eastAsia="Times New Roman" w:hAnsi="Times New Roman"/>
          <w:sz w:val="20"/>
          <w:szCs w:val="20"/>
          <w:color w:val="1E1E1E"/>
        </w:rPr>
        <w:t>Our consolidated financial statements, together with the reports of our independent registered public accounting firm, appear beginning on page F-1 of this Annual Report for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 Changes in and Disagreements with Accountants on Accounting and Financial Disclosure.</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9A. 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Evaluation of Disclosure Controls and Procedures</w:t>
      </w:r>
    </w:p>
    <w:p>
      <w:pPr>
        <w:spacing w:after="0" w:line="118"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1E1E1E"/>
        </w:rPr>
        <w:t>As of December 31, 2023, 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(“Exchange Act”)). Based on our management’s evaluation, management concluded that our disclosure controls and procedures were not effective as of December 31, 2023 as a result of the material weakness discussed below. Notwithstanding this material weakness, our management concluded that our consolidated financial statements included in Part II, Item 8 of this Annual Report on Form 10-K fairly present, in all material respects, our financial condition, results of operations and cash flows as of and for the periods presented in conformity with accounting principles generally accepted in the United States (“U.S. GAAP”).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Management's Annual Report on Internal Controls Over Financial Reporting</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GAAP.</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 xml:space="preserve">Under the supervision and participation of our Chief Executive Officer and our Chief Financial Officer, our management conducted an evaluation of the effectiveness of our internal control over financial reporting as of December 31, 2023, based on the criteria set forth in </w:t>
      </w:r>
      <w:r>
        <w:rPr>
          <w:rFonts w:ascii="Times New Roman" w:cs="Times New Roman" w:eastAsia="Times New Roman" w:hAnsi="Times New Roman"/>
          <w:sz w:val="20"/>
          <w:szCs w:val="20"/>
          <w:i w:val="1"/>
          <w:iCs w:val="1"/>
          <w:color w:val="1E1E1E"/>
        </w:rPr>
        <w:t>Internal Control-Integrated Framework</w:t>
      </w:r>
      <w:r>
        <w:rPr>
          <w:rFonts w:ascii="Times New Roman" w:cs="Times New Roman" w:eastAsia="Times New Roman" w:hAnsi="Times New Roman"/>
          <w:sz w:val="20"/>
          <w:szCs w:val="20"/>
          <w:color w:val="1E1E1E"/>
        </w:rPr>
        <w:t xml:space="preserve"> issued by the Committee of Sponsoring Organizations of the Treadway Commission (2013 framework). Our management identified control deficiencies, as previously disclosed, that, individually or in the aggregate, constitute a material weakness in our internal control over financial reporting and has concluded that our internal control over financial reporting was not effective as of December 31, 2023.</w:t>
      </w:r>
    </w:p>
    <w:p>
      <w:pPr>
        <w:spacing w:after="0" w:line="80"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1E1E1E"/>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5"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1E1E1E"/>
        </w:rPr>
        <w:t>We identified a material weakness in the design of our controls over the collection and remittance of sales taxes, as well as the accurate recording of our sales tax obligations in the financial statements. This material weakness remains unremediated as of December 31, 2023.</w:t>
      </w:r>
    </w:p>
    <w:p>
      <w:pPr>
        <w:spacing w:after="0" w:line="65" w:lineRule="exact"/>
        <w:rPr>
          <w:sz w:val="20"/>
          <w:szCs w:val="20"/>
          <w:color w:val="auto"/>
        </w:rPr>
      </w:pPr>
    </w:p>
    <w:p>
      <w:pPr>
        <w:ind w:right="220" w:firstLine="490"/>
        <w:spacing w:after="0" w:line="259" w:lineRule="auto"/>
        <w:rPr>
          <w:sz w:val="20"/>
          <w:szCs w:val="20"/>
          <w:color w:val="auto"/>
        </w:rPr>
      </w:pPr>
      <w:r>
        <w:rPr>
          <w:rFonts w:ascii="Times New Roman" w:cs="Times New Roman" w:eastAsia="Times New Roman" w:hAnsi="Times New Roman"/>
          <w:sz w:val="20"/>
          <w:szCs w:val="20"/>
          <w:color w:val="1E1E1E"/>
        </w:rPr>
        <w:t>Deloitte &amp; Touche LLP, our independent registered public accounting firm, has audited our consolidated financial statements included in this Annual Report and issued its report, which is included herein, stating that the Company's internal controls over financial reporting were not effective as of December 31, 2023.</w:t>
      </w:r>
    </w:p>
    <w:p>
      <w:pPr>
        <w:sectPr>
          <w:pgSz w:w="11880" w:h="15480" w:orient="portrait"/>
          <w:cols w:equalWidth="0" w:num="1">
            <w:col w:w="10180"/>
          </w:cols>
          <w:pgMar w:left="820" w:top="803"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180"/>
          </w:cols>
          <w:pgMar w:left="820" w:top="803" w:right="8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1E1E1E"/>
        </w:rPr>
        <w:t>Changes in Internal Control Over Financial Reporting</w:t>
      </w:r>
    </w:p>
    <w:p>
      <w:pPr>
        <w:spacing w:after="0" w:line="118"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1E1E1E"/>
        </w:rPr>
        <w:t>There was no change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Remediation Efforts to Address Material Weakness</w:t>
      </w:r>
    </w:p>
    <w:p>
      <w:pPr>
        <w:spacing w:after="0" w:line="118"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1E1E1E"/>
        </w:rPr>
        <w:t>In response to the identified material weakness, management, with the oversight of the Audit Committee of the Board of Directors, has designed and implemented measures to improve our internal control over financial reporting and remediate the material weakness. Our efforts include a number of actions:</w:t>
      </w:r>
    </w:p>
    <w:p>
      <w:pPr>
        <w:spacing w:after="0" w:line="80" w:lineRule="exact"/>
        <w:rPr>
          <w:sz w:val="20"/>
          <w:szCs w:val="20"/>
          <w:color w:val="auto"/>
        </w:rPr>
      </w:pPr>
    </w:p>
    <w:p>
      <w:pPr>
        <w:ind w:left="980" w:right="100" w:hanging="483"/>
        <w:spacing w:after="0" w:line="278"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immediately engaged additional third-party tax experts to assist in the review of the classification for sales tax purposes of our existing products and services;</w:t>
      </w:r>
    </w:p>
    <w:p>
      <w:pPr>
        <w:spacing w:after="0" w:line="60" w:lineRule="exact"/>
        <w:rPr>
          <w:rFonts w:ascii="Arial" w:cs="Arial" w:eastAsia="Arial" w:hAnsi="Arial"/>
          <w:sz w:val="20"/>
          <w:szCs w:val="20"/>
          <w:color w:val="1E1E1E"/>
        </w:rPr>
      </w:pPr>
    </w:p>
    <w:p>
      <w:pPr>
        <w:jc w:val="both"/>
        <w:ind w:left="980" w:right="160" w:hanging="483"/>
        <w:spacing w:after="0" w:line="279" w:lineRule="auto"/>
        <w:tabs>
          <w:tab w:leader="none" w:pos="980" w:val="left"/>
        </w:tabs>
        <w:numPr>
          <w:ilvl w:val="0"/>
          <w:numId w:val="27"/>
        </w:numPr>
        <w:rPr>
          <w:rFonts w:ascii="Arial" w:cs="Arial" w:eastAsia="Arial" w:hAnsi="Arial"/>
          <w:sz w:val="19"/>
          <w:szCs w:val="19"/>
          <w:color w:val="1E1E1E"/>
        </w:rPr>
      </w:pPr>
      <w:r>
        <w:rPr>
          <w:rFonts w:ascii="Times New Roman" w:cs="Times New Roman" w:eastAsia="Times New Roman" w:hAnsi="Times New Roman"/>
          <w:sz w:val="19"/>
          <w:szCs w:val="19"/>
          <w:color w:val="1E1E1E"/>
        </w:rPr>
        <w:t>We have designed and implemented additional sales tax nexus reviews, including controls over the monitoring of changes in our products and service offerings and identification of new and/or enhanced products and services, to put in place effective review controls over the classification of products and services for sales tax purposes; and</w:t>
      </w:r>
    </w:p>
    <w:p>
      <w:pPr>
        <w:spacing w:after="0" w:line="61" w:lineRule="exact"/>
        <w:rPr>
          <w:rFonts w:ascii="Arial" w:cs="Arial" w:eastAsia="Arial" w:hAnsi="Arial"/>
          <w:sz w:val="19"/>
          <w:szCs w:val="19"/>
          <w:color w:val="1E1E1E"/>
        </w:rPr>
      </w:pPr>
    </w:p>
    <w:p>
      <w:pPr>
        <w:ind w:left="980" w:right="80" w:hanging="483"/>
        <w:spacing w:after="0" w:line="278" w:lineRule="auto"/>
        <w:tabs>
          <w:tab w:leader="none" w:pos="980" w:val="left"/>
        </w:tabs>
        <w:numPr>
          <w:ilvl w:val="0"/>
          <w:numId w:val="27"/>
        </w:numPr>
        <w:rPr>
          <w:rFonts w:ascii="Arial" w:cs="Arial" w:eastAsia="Arial" w:hAnsi="Arial"/>
          <w:sz w:val="20"/>
          <w:szCs w:val="20"/>
          <w:color w:val="1E1E1E"/>
        </w:rPr>
      </w:pPr>
      <w:r>
        <w:rPr>
          <w:rFonts w:ascii="Times New Roman" w:cs="Times New Roman" w:eastAsia="Times New Roman" w:hAnsi="Times New Roman"/>
          <w:sz w:val="20"/>
          <w:szCs w:val="20"/>
          <w:color w:val="1E1E1E"/>
        </w:rPr>
        <w:t>We have designed and implemented controls over the collection, control, and subsequent monitoring of applicable documentation of exempt status from customers in affected jurisdictions.</w:t>
      </w:r>
    </w:p>
    <w:p>
      <w:pPr>
        <w:spacing w:after="0" w:line="46"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Our management believes that the measures described above will remediate the material weakness and strengthen our overall internal control over financial reporting. The material weakness will not be considered remediated until the applicable remediated controls operate for a sufficient period of time and management has concluded, through testing, that these controls are operating effectively.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Inherent Limitations on Effectiveness of Controls and Procedures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3360"/>
        <w:spacing w:after="0" w:line="366" w:lineRule="auto"/>
        <w:rPr>
          <w:sz w:val="20"/>
          <w:szCs w:val="20"/>
          <w:color w:val="auto"/>
        </w:rPr>
      </w:pPr>
      <w:r>
        <w:rPr>
          <w:rFonts w:ascii="Times New Roman" w:cs="Times New Roman" w:eastAsia="Times New Roman" w:hAnsi="Times New Roman"/>
          <w:sz w:val="20"/>
          <w:szCs w:val="20"/>
          <w:b w:val="1"/>
          <w:bCs w:val="1"/>
          <w:color w:val="1E1E1E"/>
        </w:rPr>
        <w:t xml:space="preserve">REPORT OF INDEPENDENT REGISTERED PUBLIC ACCOUNTING FIRM </w:t>
      </w:r>
      <w:r>
        <w:rPr>
          <w:rFonts w:ascii="Times New Roman" w:cs="Times New Roman" w:eastAsia="Times New Roman" w:hAnsi="Times New Roman"/>
          <w:sz w:val="20"/>
          <w:szCs w:val="20"/>
          <w:color w:val="1E1E1E"/>
        </w:rPr>
        <w:t xml:space="preserve">To the shareholders and the Board of Directors of Definitive Healthcare Corp. </w:t>
      </w:r>
      <w:r>
        <w:rPr>
          <w:rFonts w:ascii="Times New Roman" w:cs="Times New Roman" w:eastAsia="Times New Roman" w:hAnsi="Times New Roman"/>
          <w:sz w:val="20"/>
          <w:szCs w:val="20"/>
          <w:b w:val="1"/>
          <w:bCs w:val="1"/>
          <w:color w:val="1E1E1E"/>
        </w:rPr>
        <w:t>Opinion on Internal Control over Financial Reporting</w:t>
      </w:r>
    </w:p>
    <w:p>
      <w:pPr>
        <w:spacing w:after="0" w:line="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1E1E1E"/>
        </w:rPr>
        <w:t xml:space="preserve">We have audited the internal control over financial reporting of Definitive Healthcare Corp. and subsidiaries (the “Company”) as of December 31, 2023, based on criteria established in </w:t>
      </w:r>
      <w:r>
        <w:rPr>
          <w:rFonts w:ascii="Times New Roman" w:cs="Times New Roman" w:eastAsia="Times New Roman" w:hAnsi="Times New Roman"/>
          <w:sz w:val="20"/>
          <w:szCs w:val="20"/>
          <w:i w:val="1"/>
          <w:iCs w:val="1"/>
          <w:color w:val="1E1E1E"/>
        </w:rPr>
        <w:t>Internal Control — Integrated Framework (2013)</w:t>
      </w:r>
      <w:r>
        <w:rPr>
          <w:rFonts w:ascii="Times New Roman" w:cs="Times New Roman" w:eastAsia="Times New Roman" w:hAnsi="Times New Roman"/>
          <w:sz w:val="20"/>
          <w:szCs w:val="20"/>
          <w:color w:val="1E1E1E"/>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2023, based on criteria established in </w:t>
      </w:r>
      <w:r>
        <w:rPr>
          <w:rFonts w:ascii="Times New Roman" w:cs="Times New Roman" w:eastAsia="Times New Roman" w:hAnsi="Times New Roman"/>
          <w:sz w:val="20"/>
          <w:szCs w:val="20"/>
          <w:i w:val="1"/>
          <w:iCs w:val="1"/>
          <w:color w:val="1E1E1E"/>
        </w:rPr>
        <w:t>Internal</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Control — Integrated Framework (2013) </w:t>
      </w:r>
      <w:r>
        <w:rPr>
          <w:rFonts w:ascii="Times New Roman" w:cs="Times New Roman" w:eastAsia="Times New Roman" w:hAnsi="Times New Roman"/>
          <w:sz w:val="20"/>
          <w:szCs w:val="20"/>
          <w:color w:val="1E1E1E"/>
        </w:rPr>
        <w:t>issued by COSO.</w:t>
      </w:r>
    </w:p>
    <w:p>
      <w:pPr>
        <w:spacing w:after="0" w:line="8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1E1E1E"/>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sectPr>
          <w:pgSz w:w="11880" w:h="15480" w:orient="portrait"/>
          <w:cols w:equalWidth="0" w:num="1">
            <w:col w:w="10220"/>
          </w:cols>
          <w:pgMar w:left="820" w:top="808"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220"/>
          </w:cols>
          <w:pgMar w:left="820" w:top="808" w:right="84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12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1E1E1E"/>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Definition and Limitations of Internal Control over Financial Reporting</w:t>
      </w:r>
    </w:p>
    <w:p>
      <w:pPr>
        <w:spacing w:after="0" w:line="12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Material Weakness</w:t>
      </w:r>
    </w:p>
    <w:p>
      <w:pPr>
        <w:spacing w:after="0" w:line="12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1E1E1E"/>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have appropriately designed controls over the collection, remittance and accurate recording of sales tax obligations in the financial statements. This material weakness was considered in determining the nature, timing, and extent of audit tests applied in our audit of the consolidated financial statements as of and for the year ended December 31, 2023, of the Company, and this report does not affect our report on such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/s/Deloitte &amp; Touche LLP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Boston, Massachusetts</w:t>
      </w:r>
    </w:p>
    <w:p>
      <w:pPr>
        <w:spacing w:after="0"/>
        <w:rPr>
          <w:sz w:val="20"/>
          <w:szCs w:val="20"/>
          <w:color w:val="auto"/>
        </w:rPr>
      </w:pPr>
      <w:r>
        <w:rPr>
          <w:rFonts w:ascii="Times New Roman" w:cs="Times New Roman" w:eastAsia="Times New Roman" w:hAnsi="Times New Roman"/>
          <w:sz w:val="20"/>
          <w:szCs w:val="20"/>
          <w:color w:val="1E1E1E"/>
        </w:rPr>
        <w:t>February 28, 2024</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9B.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Trading Arrangements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9C. Disclosure Regarding Foreign Jurisdictions that Prevent Inspections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10220"/>
          </w:cols>
          <w:pgMar w:left="820" w:top="803" w:right="840" w:bottom="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10. Directors, Executive Officers and Corporate Governance.</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spacing w:after="0" w:line="65"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E1E1E"/>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ours, with regard to their activities related to our business. Our code of business conduct and ethics is available in the Investor Relations section of our website at https://ir.definitivehc.com. We intend to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11. Executive Compensation.</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12. Security Ownership of Certain Beneficial Owners and Management and Related Stockholder Matters.</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13. Certain Relationships and Related Transactions, and Director Independence.</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14. Principal Accounting Fees and Services.</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10220"/>
          </w:cols>
          <w:pgMar w:left="820" w:top="803" w:right="84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15. Exhibits and Financial Statement Schedules.</w:t>
      </w:r>
    </w:p>
    <w:p>
      <w:pPr>
        <w:spacing w:after="0" w:line="123" w:lineRule="exact"/>
        <w:rPr>
          <w:sz w:val="20"/>
          <w:szCs w:val="20"/>
          <w:color w:val="auto"/>
        </w:rPr>
      </w:pPr>
    </w:p>
    <w:p>
      <w:pPr>
        <w:ind w:left="960" w:hanging="477"/>
        <w:spacing w:after="0"/>
        <w:tabs>
          <w:tab w:leader="none" w:pos="960" w:val="left"/>
        </w:tabs>
        <w:numPr>
          <w:ilvl w:val="0"/>
          <w:numId w:val="2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Financial Statements</w:t>
      </w:r>
    </w:p>
    <w:p>
      <w:pPr>
        <w:spacing w:after="0" w:line="120" w:lineRule="exact"/>
        <w:rPr>
          <w:sz w:val="20"/>
          <w:szCs w:val="20"/>
          <w:color w:val="auto"/>
        </w:rPr>
      </w:pPr>
    </w:p>
    <w:p>
      <w:pPr>
        <w:ind w:left="480" w:right="360"/>
        <w:spacing w:after="0" w:line="279" w:lineRule="auto"/>
        <w:rPr>
          <w:sz w:val="20"/>
          <w:szCs w:val="20"/>
          <w:color w:val="auto"/>
        </w:rPr>
      </w:pPr>
      <w:r>
        <w:rPr>
          <w:rFonts w:ascii="Times New Roman" w:cs="Times New Roman" w:eastAsia="Times New Roman" w:hAnsi="Times New Roman"/>
          <w:sz w:val="20"/>
          <w:szCs w:val="20"/>
          <w:color w:val="1E1E1E"/>
        </w:rPr>
        <w:t>See the Index to Consolidated Financial Statements in the Financial Statements Section beginning on page F-1 of this Annual Report on Form 10-K.</w:t>
      </w:r>
    </w:p>
    <w:p>
      <w:pPr>
        <w:spacing w:after="0" w:line="45" w:lineRule="exact"/>
        <w:rPr>
          <w:sz w:val="20"/>
          <w:szCs w:val="20"/>
          <w:color w:val="auto"/>
        </w:rPr>
      </w:pPr>
    </w:p>
    <w:p>
      <w:pPr>
        <w:ind w:left="960" w:hanging="477"/>
        <w:spacing w:after="0"/>
        <w:tabs>
          <w:tab w:leader="none" w:pos="960" w:val="left"/>
        </w:tabs>
        <w:numPr>
          <w:ilvl w:val="0"/>
          <w:numId w:val="2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Financial Statement Schedules</w:t>
      </w:r>
    </w:p>
    <w:p>
      <w:pPr>
        <w:spacing w:after="0" w:line="120" w:lineRule="exact"/>
        <w:rPr>
          <w:sz w:val="20"/>
          <w:szCs w:val="20"/>
          <w:color w:val="auto"/>
        </w:rPr>
      </w:pPr>
    </w:p>
    <w:p>
      <w:pPr>
        <w:ind w:left="480" w:right="160"/>
        <w:spacing w:after="0" w:line="279" w:lineRule="auto"/>
        <w:rPr>
          <w:sz w:val="20"/>
          <w:szCs w:val="20"/>
          <w:color w:val="auto"/>
        </w:rPr>
      </w:pPr>
      <w:r>
        <w:rPr>
          <w:rFonts w:ascii="Times New Roman" w:cs="Times New Roman" w:eastAsia="Times New Roman" w:hAnsi="Times New Roman"/>
          <w:sz w:val="20"/>
          <w:szCs w:val="20"/>
          <w:color w:val="1E1E1E"/>
        </w:rPr>
        <w:t>All financial statement schedules have been omitted as they are not required, not applicable, or the required information is included in the financial statements or notes to the financial statements.</w:t>
      </w:r>
    </w:p>
    <w:p>
      <w:pPr>
        <w:spacing w:after="0" w:line="45" w:lineRule="exact"/>
        <w:rPr>
          <w:sz w:val="20"/>
          <w:szCs w:val="20"/>
          <w:color w:val="auto"/>
        </w:rPr>
      </w:pPr>
    </w:p>
    <w:p>
      <w:pPr>
        <w:ind w:left="960" w:hanging="477"/>
        <w:spacing w:after="0"/>
        <w:tabs>
          <w:tab w:leader="none" w:pos="960" w:val="left"/>
        </w:tabs>
        <w:numPr>
          <w:ilvl w:val="0"/>
          <w:numId w:val="3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0" w:type="dxa"/>
            <w:vAlign w:val="bottom"/>
          </w:tcPr>
          <w:p>
            <w:pPr>
              <w:ind w:left="3300"/>
              <w:spacing w:after="0"/>
              <w:rPr>
                <w:sz w:val="20"/>
                <w:szCs w:val="20"/>
                <w:color w:val="auto"/>
              </w:rPr>
            </w:pPr>
            <w:r>
              <w:rPr>
                <w:rFonts w:ascii="Times New Roman" w:cs="Times New Roman" w:eastAsia="Times New Roman" w:hAnsi="Times New Roman"/>
                <w:sz w:val="20"/>
                <w:szCs w:val="20"/>
                <w:b w:val="1"/>
                <w:bCs w:val="1"/>
                <w:color w:val="1E1E1E"/>
              </w:rPr>
              <w:t>Exhibit Index</w:t>
            </w:r>
          </w:p>
        </w:tc>
        <w:tc>
          <w:tcPr>
            <w:tcW w:w="0" w:type="dxa"/>
            <w:vAlign w:val="bottom"/>
          </w:tcPr>
          <w:p>
            <w:pPr>
              <w:spacing w:after="0"/>
              <w:rPr>
                <w:sz w:val="1"/>
                <w:szCs w:val="1"/>
                <w:color w:val="auto"/>
              </w:rPr>
            </w:pPr>
          </w:p>
        </w:tc>
      </w:tr>
      <w:tr>
        <w:trPr>
          <w:trHeight w:val="435"/>
        </w:trPr>
        <w:tc>
          <w:tcPr>
            <w:tcW w:w="11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1E1E1E"/>
              </w:rPr>
              <w:t>Exhibit</w:t>
            </w:r>
          </w:p>
        </w:tc>
        <w:tc>
          <w:tcPr>
            <w:tcW w:w="10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40" w:type="dxa"/>
            <w:vAlign w:val="bottom"/>
            <w:tcBorders>
              <w:bottom w:val="single" w:sz="8" w:color="1E1E1E"/>
            </w:tcBorders>
          </w:tcPr>
          <w:p>
            <w:pPr>
              <w:ind w:left="280"/>
              <w:spacing w:after="0"/>
              <w:rPr>
                <w:sz w:val="20"/>
                <w:szCs w:val="20"/>
                <w:color w:val="auto"/>
              </w:rPr>
            </w:pPr>
            <w:r>
              <w:rPr>
                <w:rFonts w:ascii="Times New Roman" w:cs="Times New Roman" w:eastAsia="Times New Roman" w:hAnsi="Times New Roman"/>
                <w:sz w:val="16"/>
                <w:szCs w:val="16"/>
                <w:b w:val="1"/>
                <w:bCs w:val="1"/>
                <w:color w:val="1E1E1E"/>
              </w:rPr>
              <w:t>Number</w:t>
            </w:r>
          </w:p>
        </w:tc>
        <w:tc>
          <w:tcPr>
            <w:tcW w:w="100" w:type="dxa"/>
            <w:vAlign w:val="bottom"/>
          </w:tcPr>
          <w:p>
            <w:pPr>
              <w:spacing w:after="0"/>
              <w:rPr>
                <w:sz w:val="17"/>
                <w:szCs w:val="17"/>
                <w:color w:val="auto"/>
              </w:rPr>
            </w:pPr>
          </w:p>
        </w:tc>
        <w:tc>
          <w:tcPr>
            <w:tcW w:w="9000" w:type="dxa"/>
            <w:vAlign w:val="bottom"/>
            <w:tcBorders>
              <w:bottom w:val="single" w:sz="8" w:color="1E1E1E"/>
            </w:tcBorders>
          </w:tcPr>
          <w:p>
            <w:pPr>
              <w:ind w:left="4100"/>
              <w:spacing w:after="0"/>
              <w:rPr>
                <w:sz w:val="20"/>
                <w:szCs w:val="20"/>
                <w:color w:val="auto"/>
              </w:rPr>
            </w:pPr>
            <w:r>
              <w:rPr>
                <w:rFonts w:ascii="Times New Roman" w:cs="Times New Roman" w:eastAsia="Times New Roman" w:hAnsi="Times New Roman"/>
                <w:sz w:val="16"/>
                <w:szCs w:val="16"/>
                <w:b w:val="1"/>
                <w:bCs w:val="1"/>
                <w:color w:val="1E1E1E"/>
              </w:rPr>
              <w:t>Description</w:t>
            </w:r>
          </w:p>
        </w:tc>
        <w:tc>
          <w:tcPr>
            <w:tcW w:w="0" w:type="dxa"/>
            <w:vAlign w:val="bottom"/>
          </w:tcPr>
          <w:p>
            <w:pPr>
              <w:spacing w:after="0"/>
              <w:rPr>
                <w:sz w:val="1"/>
                <w:szCs w:val="1"/>
                <w:color w:val="auto"/>
              </w:rPr>
            </w:pPr>
          </w:p>
        </w:tc>
      </w:tr>
      <w:tr>
        <w:trPr>
          <w:trHeight w:val="204"/>
        </w:trPr>
        <w:tc>
          <w:tcPr>
            <w:tcW w:w="1140" w:type="dxa"/>
            <w:vAlign w:val="bottom"/>
          </w:tcPr>
          <w:p>
            <w:pPr>
              <w:spacing w:after="0" w:line="204" w:lineRule="exact"/>
              <w:rPr>
                <w:sz w:val="20"/>
                <w:szCs w:val="20"/>
                <w:color w:val="auto"/>
              </w:rPr>
            </w:pPr>
            <w:r>
              <w:rPr>
                <w:rFonts w:ascii="Times New Roman" w:cs="Times New Roman" w:eastAsia="Times New Roman" w:hAnsi="Times New Roman"/>
                <w:sz w:val="20"/>
                <w:szCs w:val="20"/>
                <w:color w:val="1E1E1E"/>
              </w:rPr>
              <w:t>3.1</w:t>
            </w:r>
          </w:p>
        </w:tc>
        <w:tc>
          <w:tcPr>
            <w:tcW w:w="100" w:type="dxa"/>
            <w:vAlign w:val="bottom"/>
          </w:tcPr>
          <w:p>
            <w:pPr>
              <w:spacing w:after="0"/>
              <w:rPr>
                <w:sz w:val="17"/>
                <w:szCs w:val="17"/>
                <w:color w:val="auto"/>
              </w:rPr>
            </w:pPr>
          </w:p>
        </w:tc>
        <w:tc>
          <w:tcPr>
            <w:tcW w:w="9000" w:type="dxa"/>
            <w:vAlign w:val="bottom"/>
          </w:tcPr>
          <w:p>
            <w:pPr>
              <w:spacing w:after="0" w:line="204" w:lineRule="exact"/>
              <w:rPr>
                <w:sz w:val="20"/>
                <w:szCs w:val="20"/>
                <w:color w:val="auto"/>
              </w:rPr>
            </w:pPr>
            <w:r>
              <w:rPr>
                <w:rFonts w:ascii="Times New Roman" w:cs="Times New Roman" w:eastAsia="Times New Roman" w:hAnsi="Times New Roman"/>
                <w:sz w:val="20"/>
                <w:szCs w:val="20"/>
                <w:color w:val="1E1E1E"/>
              </w:rPr>
              <w:t>Amended and Restated Certificate of Incorporation of Definitive Healthcare Corp. (incorporated by reference to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Exhibit 3.1 to the Company’s Quarterly Report on Form 10-Q (File No. 001-40815) filed with the SEC on</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November 8, 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3.2</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Amended and Restated Bylaws of Definitive Healthcare Corp. (incorporated by reference to Exhibit 3.2 to the</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Company’s Quarterly Report on Form 10-Q (File No. 001-40815)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3.3</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Second Amended and Restated Limited Liability Company Agreement of AIDH TopCo, LLC (incorporated by</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reference to Exhibit 3.3 to the Company’s Quarterly Report on Form 10-Q (File No. 001-40815) filed with the</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SEC on November 8, 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4.1</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Description of Registrant’s Securities (incorporated by reference to Exhibit 4.1 to the Company’s Annual</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Report on Form 10-K (File No. 001-40815) filed with the SEC on March 15, 2022).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10.1</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Credit Agreement, dated September 17, 2021, by and among DH Holdings and Administrative Agent, the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lenders party thereto and the issuing banks from time to time party thereto (incorporated by reference to Exhibit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10.1 to the Company’s current report on Form 8-K (File No. 001-40815), filed with the SEC on September 20,</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10.2</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Amendment No. 1, dated October 31, 2022, to Credit Agreement, dated September 17, 2021, by and among</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Definitive Healthcare Holdings, LLC, AIDH Buyer, LLC, Bank of America, N.A. as Administrative Agent, the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lenders party thereto and the issuing banks from time to time party thereto (incorporated by reference to Exhibit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10.5 to the Company’s Quarterly Report on Form 10-Q (File No.001-40815) filed with the SEC on November</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91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1E1E1E"/>
              </w:rPr>
              <w:t>3, 2022).</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10.3</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Reorganization Agreement, dated September 14, 2021, between Definitive Healthcare Corp., AIDH TopCo,</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LLC and the parties named therein (incorporated by reference to Exhibit 10.8 to the Company’s Quarterly</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Report on Form 10-Q (File No. 001-40815)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10.4</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Registration Rights Agreement, dated September 14, 2021, by and among Definitive Healthcare Corp. and the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Continuing Pre-IPO LLC Members (incorporated by reference to Exhibit 10.9 to the Company’s Quarterly</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Report on Form 10-Q (File No. 001-40815)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10.5</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Tax Receivable Agreement, dated September 14, 2021, between Definitive Healthcare Corp. and the TRA</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Parties (incorporated by reference to Exhibit 10.10 to the Company’s Quarterly Report on Form10-Q (File No.</w:t>
            </w:r>
          </w:p>
        </w:tc>
        <w:tc>
          <w:tcPr>
            <w:tcW w:w="0" w:type="dxa"/>
            <w:vAlign w:val="bottom"/>
          </w:tcPr>
          <w:p>
            <w:pPr>
              <w:spacing w:after="0"/>
              <w:rPr>
                <w:sz w:val="1"/>
                <w:szCs w:val="1"/>
                <w:color w:val="auto"/>
              </w:rPr>
            </w:pPr>
          </w:p>
        </w:tc>
      </w:tr>
      <w:tr>
        <w:trPr>
          <w:trHeight w:val="245"/>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10.6</w:t>
            </w: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001-40815)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Nominating Agreement, dated September 17, 2021, between the Company and Advent (incorporated by</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reference to Exhibit 10.11 to the Company’s Quarterly Report on Form 10-Q (File No. 001-40815) filed with</w:t>
            </w:r>
          </w:p>
        </w:tc>
        <w:tc>
          <w:tcPr>
            <w:tcW w:w="0" w:type="dxa"/>
            <w:vAlign w:val="bottom"/>
          </w:tcPr>
          <w:p>
            <w:pPr>
              <w:spacing w:after="0"/>
              <w:rPr>
                <w:sz w:val="1"/>
                <w:szCs w:val="1"/>
                <w:color w:val="auto"/>
              </w:rPr>
            </w:pPr>
          </w:p>
        </w:tc>
      </w:tr>
      <w:tr>
        <w:trPr>
          <w:trHeight w:val="245"/>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10.7</w:t>
            </w: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the SEC on November 8, 2021).</w:t>
            </w: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Nominating Agreement, dated September 17, 2021 between the Company and SE VII DHC AIV, L.P.</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(incorporated by reference to Exhibit 10.12 to the Company’s Quarterly Report on Form10-Q (File No. 001-</w:t>
            </w:r>
          </w:p>
        </w:tc>
        <w:tc>
          <w:tcPr>
            <w:tcW w:w="0" w:type="dxa"/>
            <w:vAlign w:val="bottom"/>
          </w:tcPr>
          <w:p>
            <w:pPr>
              <w:spacing w:after="0"/>
              <w:rPr>
                <w:sz w:val="1"/>
                <w:szCs w:val="1"/>
                <w:color w:val="auto"/>
              </w:rPr>
            </w:pPr>
          </w:p>
        </w:tc>
      </w:tr>
      <w:tr>
        <w:trPr>
          <w:trHeight w:val="245"/>
        </w:trPr>
        <w:tc>
          <w:tcPr>
            <w:tcW w:w="114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10.8</w:t>
            </w: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40815) filed with the SEC on November 8, 2021).</w:t>
            </w: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Nominating Agreement, dated September 17, 2021, between the Company and Jason Krantz (incorporated by</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reference to Exhibit 10.13 to the Company’s Quarterly Report on Form 10-Q (File No. 001-40815) filed with</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the SEC on November 8, 2021).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1E1E1E"/>
              </w:rPr>
              <w:t>10.9†</w:t>
            </w: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Reimbursement Agreement, dated September 17, 2021, between Definitive Healthcare Corp. and Jason Krantz</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and certain other stockholders (incorporated by reference to Exhibit 10.14 to the Company’s Quarterly Report</w:t>
            </w: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20"/>
                <w:szCs w:val="20"/>
                <w:color w:val="1E1E1E"/>
              </w:rPr>
              <w:t>on Form10-Q (File No. 001-40815) filed with the SEC on November 8,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-5975350</wp:posOffset>
            </wp:positionV>
            <wp:extent cx="64770" cy="4763"/>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770" cy="4763"/>
                    </a:xfrm>
                    <a:prstGeom prst="rect">
                      <a:avLst/>
                    </a:prstGeom>
                    <a:noFill/>
                  </pic:spPr>
                </pic:pic>
              </a:graphicData>
            </a:graphic>
          </wp:anchor>
        </w:drawing>
      </w:r>
    </w:p>
    <w:p>
      <w:pPr>
        <w:sectPr>
          <w:pgSz w:w="11880" w:h="15480" w:orient="portrait"/>
          <w:cols w:equalWidth="0" w:num="1">
            <w:col w:w="10240"/>
          </w:cols>
          <w:pgMar w:left="820" w:top="803" w:right="820" w:bottom="0"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240"/>
          </w:cols>
          <w:pgMar w:left="820" w:top="803" w:right="820" w:bottom="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10.10†</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w w:val="99"/>
              </w:rPr>
              <w:t>Stock and Unit Purchase Agreement, dated September 7, 2021, by and among Definitive Health Care Corp.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the parties named therein (incorporated by reference to Exhibit 10.19 to Amendment No. 2 to the Company’s</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Registration Statement on Form S-1 (File No. 333-258990) filed with the SEC on September 7, 2021).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10.11†</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Stock and Unit Purchase Agreement, dated November 10, 2021, by and among Definitive Healthcare Corp.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the parties named therein (incorporated by reference to Exhibit 10.21 to the Company’s Registration Statement</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on Form S-1 (File No. 333-261083) filed with the SEC on November 15, 2021).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10.12†</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w w:val="99"/>
              </w:rPr>
              <w:t>2019 Equity Incentive Plan (incorporated by reference to Exhibit 10.1 to the Company’s Registration Statement</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on Form S-1 (File No. 333-258990) filed with the SEC on August 20, 2021).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10.13†</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2021 Equity Incentive Plan (incorporated by reference to Exhibit 10.12 to the Company's Annual Report on</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10-K (File No. 001-40815) filed with the SEC on March 15, 2022.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10.14†</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Equity Award Agreements under 2019 Equity Incentive Plan (incorporated by reference to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10.3 to the Company’s Registration Statement on Form S-1 (File No. 333-258990) filed with the SEC on</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August 20, 2021).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10.15†</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Executive Equity Award Agreements under 2021 Equity Incentive Plan (incorporated by reference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Exhibit 10.4 to the Company’s Registration Statement on Form S-1 (File No. 333-258990) filed with the SEC</w:t>
            </w:r>
          </w:p>
        </w:tc>
        <w:tc>
          <w:tcPr>
            <w:tcW w:w="0" w:type="dxa"/>
            <w:vAlign w:val="bottom"/>
          </w:tcPr>
          <w:p>
            <w:pPr>
              <w:spacing w:after="0"/>
              <w:rPr>
                <w:sz w:val="1"/>
                <w:szCs w:val="1"/>
                <w:color w:val="auto"/>
              </w:rPr>
            </w:pPr>
          </w:p>
        </w:tc>
      </w:tr>
      <w:tr>
        <w:trPr>
          <w:trHeight w:val="245"/>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10.16†</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on August 20, 2021).</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Executive Restricted Stock Unit Award Agreement under Definitive Healthcare Corp. 2021 Equity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Incentive Plan (incorporated by reference to Exhibit 10.2 to the Company’s Current Report on Form 8-K (File</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No. 001-40815) filed with the SEC on November 3, 2022).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10.17†</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Executive Performance-Based Restricted Stock Unit Award Agreement under Definitive Healthcare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Corp. 2021 Equity Incentive Plan (incorporated by reference to Exhibit 10.17 to the Company’s Annual Report</w:t>
            </w:r>
          </w:p>
        </w:tc>
        <w:tc>
          <w:tcPr>
            <w:tcW w:w="0" w:type="dxa"/>
            <w:vAlign w:val="bottom"/>
          </w:tcPr>
          <w:p>
            <w:pPr>
              <w:spacing w:after="0"/>
              <w:rPr>
                <w:sz w:val="1"/>
                <w:szCs w:val="1"/>
                <w:color w:val="auto"/>
              </w:rPr>
            </w:pPr>
          </w:p>
        </w:tc>
      </w:tr>
      <w:tr>
        <w:trPr>
          <w:trHeight w:val="245"/>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10.18†</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on Form 10-K (File No. 001-40815) filed with the SEC on February 27, 2023).</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Director Restricted Stock Unit Award Agreement under Definitive Healthcare Corp. 2021 Equity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Incentive Plan (incorporated by reference to Exhibit 10.1 to the Company’s Current Report on Form 8-K (File</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No. 001-40815) filed with the SEC on October 3, 2022).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10.19†</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Definitive Healthcare Corp. Cash Incentive Plan (incorporated by reference to Exhibit 10.2 to the Company's</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Current Report on Form 8-K (File No. 001-40815) filed with the SEC on February 23,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10.20</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Executive Officer and Director Indemnification Agreement for Definitive Healthcare Corp.</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w w:val="99"/>
              </w:rPr>
              <w:t>(incorporated by reference to Exhibit 10.6 to the Company’s Registration Statement on Form S-1 (File No. 333-</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258990) filed with the SEC on August 20, 2021).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10.21†</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2021 Employee Stock Purchase Plan (incorporated by reference to Exhibit 10.7 to the Company’s Registration</w:t>
            </w:r>
          </w:p>
        </w:tc>
        <w:tc>
          <w:tcPr>
            <w:tcW w:w="0" w:type="dxa"/>
            <w:vAlign w:val="bottom"/>
          </w:tcPr>
          <w:p>
            <w:pPr>
              <w:spacing w:after="0"/>
              <w:rPr>
                <w:sz w:val="1"/>
                <w:szCs w:val="1"/>
                <w:color w:val="auto"/>
              </w:rPr>
            </w:pPr>
          </w:p>
        </w:tc>
      </w:tr>
      <w:tr>
        <w:trPr>
          <w:trHeight w:val="245"/>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10.22†</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Statement on Form S-1 (File No. 333-258990) filed with the SEC on August 20, 2021).</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Employment Agreement, dated January 29, 2021, by and between Definitive Healthcare, LLC and Richard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Booth (incorporated by reference to Exhibit 10.9 to the Company’s Registration Statement on Form S-1 (File</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No. 333-258990) filed with the SEC on August 20, 2021).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10.23†</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Separation Agreement, dated as of October 2, 2023, by and between Definitive Healthcare, LLC and Joseph</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Mirisola (incorporated by reference to Exhibit 10.1 to the Company’s Current Report on Form 8-K (File No.</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001-40815) filed with the SEC on October 5,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10.24†</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Executive Chairman Agreement, dated as of May 4, 2022, by and among Definitive Healthcare, LLC,</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Definitive Healthcare Corp. and Jason Krantz (incorporated by reference to Exhibit 10.2 to the Company’s</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Current Report on Form 8-K (File No. 001-40815) filed with the SEC on May 5, 2022).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10.25†</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Amendment to Executive Chairman Agreement and Employment Agreement of Jason Krantz, dated as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February 16, 2023 (incorporated by reference to Exhibit 10.1 to the Company's Current Report on Form 8-K</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(File No. 001-40815) filed with the SEC on February 23,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10.26†</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Offer Letter to Kate Shamsuddin Jensen, dated February 3, 2015 (incorporated by reference to Exhibit 10.30 to</w:t>
            </w:r>
          </w:p>
        </w:tc>
        <w:tc>
          <w:tcPr>
            <w:tcW w:w="0" w:type="dxa"/>
            <w:vAlign w:val="bottom"/>
          </w:tcPr>
          <w:p>
            <w:pPr>
              <w:spacing w:after="0"/>
              <w:rPr>
                <w:sz w:val="1"/>
                <w:szCs w:val="1"/>
                <w:color w:val="auto"/>
              </w:rPr>
            </w:pPr>
          </w:p>
        </w:tc>
      </w:tr>
      <w:tr>
        <w:trPr>
          <w:trHeight w:val="245"/>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1E1E1E"/>
              </w:rPr>
              <w:t>10.27†</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the Company’s Annual Report on Form 10-K (File No. 001-40815) filed with the SEC on February 27, 2023).</w:t>
            </w:r>
          </w:p>
        </w:tc>
        <w:tc>
          <w:tcPr>
            <w:tcW w:w="0" w:type="dxa"/>
            <w:vAlign w:val="bottom"/>
          </w:tcPr>
          <w:p>
            <w:pPr>
              <w:spacing w:after="0"/>
              <w:rPr>
                <w:sz w:val="1"/>
                <w:szCs w:val="1"/>
                <w:color w:val="auto"/>
              </w:rPr>
            </w:pPr>
          </w:p>
        </w:tc>
      </w:tr>
      <w:tr>
        <w:trPr>
          <w:trHeight w:val="230"/>
        </w:trPr>
        <w:tc>
          <w:tcPr>
            <w:tcW w:w="900" w:type="dxa"/>
            <w:vAlign w:val="bottom"/>
            <w:vMerge w:val="continue"/>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Employment Agreement, dated as of September 22, 2022, by and between Definitive Healthcare, LLC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w w:val="99"/>
              </w:rPr>
              <w:t>Jonathan Maack (incorporated by reference to Exhibit 10.1 to the Company’s Current Report on Form 8-K (File</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No. 001-40815) filed with the SEC on November 3, 2022).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10.28†</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Definitive Healthcare Corp. Severance Plan for Executives (incorporated by reference to Exhibit 10.1 to the</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Company’s Current Report on Form 8-K (File No. 001-40815) filed with the SEC on November 21,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10.29†</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Definitive Healthcare Corp. Change in Control Severance Plan for Executives (incorporated by reference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Exhibit 10.36 to the Company's Annual Report on Form 10-K (File No. 001-40815) filed with the SEC on</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February 27,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10.30†</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The Definitive Healthcare Corp. 2023 Inducement Plan (incorporated by reference to Exhibit 99.1 to the</w:t>
            </w: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Company’s S-8 (File No. 333-274370) filed with the SEC on September 6, 2023).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1E1E1E"/>
              </w:rPr>
              <w:t>10.31†</w:t>
            </w: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Form of RSU Award Agreement under 2023 Inducement Plan (incorporated by reference to Exhibit 99.2 to the</w:t>
            </w:r>
          </w:p>
        </w:tc>
        <w:tc>
          <w:tcPr>
            <w:tcW w:w="0" w:type="dxa"/>
            <w:vAlign w:val="bottom"/>
          </w:tcPr>
          <w:p>
            <w:pPr>
              <w:spacing w:after="0"/>
              <w:rPr>
                <w:sz w:val="1"/>
                <w:szCs w:val="1"/>
                <w:color w:val="auto"/>
              </w:rPr>
            </w:pPr>
          </w:p>
        </w:tc>
      </w:tr>
      <w:tr>
        <w:trPr>
          <w:trHeight w:val="268"/>
        </w:trPr>
        <w:tc>
          <w:tcPr>
            <w:tcW w:w="900" w:type="dxa"/>
            <w:vAlign w:val="bottom"/>
          </w:tcPr>
          <w:p>
            <w:pPr>
              <w:spacing w:after="0"/>
              <w:rPr>
                <w:sz w:val="23"/>
                <w:szCs w:val="23"/>
                <w:color w:val="auto"/>
              </w:rPr>
            </w:pPr>
          </w:p>
        </w:tc>
        <w:tc>
          <w:tcPr>
            <w:tcW w:w="9300" w:type="dxa"/>
            <w:vAlign w:val="bottom"/>
          </w:tcPr>
          <w:p>
            <w:pPr>
              <w:ind w:left="340"/>
              <w:spacing w:after="0"/>
              <w:rPr>
                <w:sz w:val="20"/>
                <w:szCs w:val="20"/>
                <w:color w:val="auto"/>
              </w:rPr>
            </w:pPr>
            <w:r>
              <w:rPr>
                <w:rFonts w:ascii="Times New Roman" w:cs="Times New Roman" w:eastAsia="Times New Roman" w:hAnsi="Times New Roman"/>
                <w:sz w:val="20"/>
                <w:szCs w:val="20"/>
                <w:color w:val="1E1E1E"/>
              </w:rPr>
              <w:t>Company’s S-8 (File No. 333-274370) filed with the SEC on September 6, 2023).</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880" w:h="15480" w:orient="portrait"/>
          <w:cols w:equalWidth="0" w:num="1">
            <w:col w:w="10200"/>
          </w:cols>
          <w:pgMar w:left="820" w:top="821" w:right="860" w:bottom="0" w:gutter="0" w:footer="0" w:header="0"/>
        </w:sectPr>
      </w:pPr>
    </w:p>
    <w:p>
      <w:pPr>
        <w:jc w:val="center"/>
        <w:ind w:right="-39"/>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10200"/>
          </w:cols>
          <w:pgMar w:left="820" w:top="821" w:right="860"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10.32†</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Form of PSU Award Agreement under 2023 Inducement Plan (incorporated by reference to Exhibit 99.3 to the</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Company’s S-8 (File No. 333-274370) filed with the SEC on September 6, 2023).</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10.33†</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Employment Agreement, dated October 2, 2023, between Carrie Lazorchak and Definitive Healthcare Corp.</w:t>
            </w:r>
          </w:p>
        </w:tc>
      </w:tr>
      <w:tr>
        <w:trPr>
          <w:trHeight w:val="230"/>
        </w:trPr>
        <w:tc>
          <w:tcPr>
            <w:tcW w:w="1000" w:type="dxa"/>
            <w:vAlign w:val="bottom"/>
          </w:tcPr>
          <w:p>
            <w:pPr>
              <w:spacing w:after="0"/>
              <w:rPr>
                <w:sz w:val="19"/>
                <w:szCs w:val="19"/>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(incorporated by reference to Exhibit 10.4 to the Company's Quarterly Report on Form 10-Q (File No. 001-</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40815) filed with the SEC on November 2, 2023).</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10.34†</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Separation Agreement and Release of Claims, dated as of January 12, 2024, by and between Definitive</w:t>
            </w:r>
          </w:p>
        </w:tc>
      </w:tr>
      <w:tr>
        <w:trPr>
          <w:trHeight w:val="230"/>
        </w:trPr>
        <w:tc>
          <w:tcPr>
            <w:tcW w:w="1000" w:type="dxa"/>
            <w:vAlign w:val="bottom"/>
          </w:tcPr>
          <w:p>
            <w:pPr>
              <w:spacing w:after="0"/>
              <w:rPr>
                <w:sz w:val="19"/>
                <w:szCs w:val="19"/>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w w:val="99"/>
              </w:rPr>
              <w:t>Healthcare Corp. and Robert Musslewhite (incorporated by reference to Exhibit 10.1 to the Company’s Current</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Report on Form 8-K (File No. 001-40815) filed with the SEC on January 16, 2024).</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10.35†</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The Definitive Healthcare Corp. Director Compensation Plan (incorporated by reference to Exhibit 10.1 to the</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Company's Quarterly Report on Form 10-Q (File No. 001-40815) filed with the SEC on August 14, 2023).</w:t>
            </w: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21.1</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List of subsidiaries.</w:t>
            </w: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23.1</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Consent of Deloitte &amp; Touche LLP, Independent Registered Public Accounting Firm.</w:t>
            </w: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24.1</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Power of Attorney (included on signature page).</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31.1</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 Rules 13a-14(a) and 15d-14(a) under the Securities</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Exchange Act of 1934, as Adopted Pursuant to Section 302 of the Sarbanes-Oxley Act of 2002.</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31.2</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Certification of Principal Financial Officer pursuant to Rules 13a-14(a) and 15d-14(a) under the Securities</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Exchange Act of 1934, as Adopted Pursuant to Section 302 of the Sarbanes-Oxley Act of 2002.</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32.1*</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w w:val="99"/>
              </w:rPr>
              <w:t>Certification of Principal Executive Officer and Principal Financial Officer pursuant to 18 U.S.C. Section 1350,</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as Adopted Pursuant to Section 302 of the Sarbanes-Oxley Act of 2002.</w:t>
            </w: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97.1</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Definitive Healthcare Corp. Incentive Compensation Recoupment Policy.</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Inline XBRL Instance Document – the instance document does not appear in the Interactive Data File because</w:t>
            </w:r>
          </w:p>
        </w:tc>
      </w:tr>
      <w:tr>
        <w:trPr>
          <w:trHeight w:val="245"/>
        </w:trPr>
        <w:tc>
          <w:tcPr>
            <w:tcW w:w="100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XBRL tags are embedded within the Inline XBRL document.</w:t>
            </w: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9180" w:type="dxa"/>
            <w:vAlign w:val="bottom"/>
          </w:tcPr>
          <w:p>
            <w:pPr>
              <w:ind w:left="240"/>
              <w:spacing w:after="0"/>
              <w:rPr>
                <w:sz w:val="20"/>
                <w:szCs w:val="20"/>
                <w:color w:val="auto"/>
              </w:rPr>
            </w:pPr>
            <w:r>
              <w:rPr>
                <w:rFonts w:ascii="Times New Roman" w:cs="Times New Roman" w:eastAsia="Times New Roman" w:hAnsi="Times New Roman"/>
                <w:sz w:val="20"/>
                <w:szCs w:val="20"/>
                <w:color w:val="1E1E1E"/>
              </w:rPr>
              <w:t>Inline XBRL Taxonomy Extension Schema With Embedded Linkbase Documents</w:t>
            </w:r>
          </w:p>
        </w:tc>
      </w:tr>
    </w:tbl>
    <w:p>
      <w:pPr>
        <w:ind w:left="1240" w:right="180" w:hanging="1232"/>
        <w:spacing w:after="0" w:line="279" w:lineRule="auto"/>
        <w:tabs>
          <w:tab w:leader="none" w:pos="1240" w:val="left"/>
        </w:tabs>
        <w:numPr>
          <w:ilvl w:val="0"/>
          <w:numId w:val="3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66675</wp:posOffset>
            </wp:positionV>
            <wp:extent cx="104267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2670" cy="6350"/>
                    </a:xfrm>
                    <a:prstGeom prst="rect">
                      <a:avLst/>
                    </a:prstGeom>
                    <a:noFill/>
                  </pic:spPr>
                </pic:pic>
              </a:graphicData>
            </a:graphic>
          </wp:anchor>
        </w:drawing>
      </w:r>
    </w:p>
    <w:p>
      <w:pPr>
        <w:spacing w:after="0" w:line="193" w:lineRule="exact"/>
        <w:rPr>
          <w:sz w:val="20"/>
          <w:szCs w:val="20"/>
          <w:color w:val="auto"/>
        </w:rPr>
      </w:pPr>
    </w:p>
    <w:p>
      <w:pPr>
        <w:ind w:right="40" w:firstLine="8"/>
        <w:spacing w:after="0" w:line="253" w:lineRule="auto"/>
        <w:tabs>
          <w:tab w:leader="none" w:pos="150"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certification attached as Exhibit 32.1 that accompanies this Annual Report on Form 10-K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 Management contract or compensatory plan or arrangement.</w:t>
      </w:r>
    </w:p>
    <w:p>
      <w:pPr>
        <w:spacing w:after="0" w:line="23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1E1E1E"/>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16. Form 10-K Summary</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None.</w:t>
      </w:r>
    </w:p>
    <w:p>
      <w:pPr>
        <w:sectPr>
          <w:pgSz w:w="11880" w:h="15480" w:orient="portrait"/>
          <w:cols w:equalWidth="0" w:num="1">
            <w:col w:w="10180"/>
          </w:cols>
          <w:pgMar w:left="820" w:top="821"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180"/>
          </w:cols>
          <w:pgMar w:left="820" w:top="821" w:right="880" w:bottom="0" w:gutter="0" w:footer="0" w:header="0"/>
          <w:type w:val="continuous"/>
        </w:sectPr>
      </w:pPr>
    </w:p>
    <w:bookmarkStart w:id="82" w:name="page83"/>
    <w:bookmarkEnd w:id="82"/>
    <w:p>
      <w:pPr>
        <w:jc w:val="center"/>
        <w:ind w:right="-99"/>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123" w:lineRule="exact"/>
        <w:rPr>
          <w:sz w:val="20"/>
          <w:szCs w:val="20"/>
          <w:color w:val="auto"/>
        </w:rPr>
      </w:pPr>
    </w:p>
    <w:p>
      <w:pPr>
        <w:ind w:right="80" w:firstLine="490"/>
        <w:spacing w:after="0" w:line="283"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1E1E1E"/>
        </w:rPr>
        <w:t>.</w:t>
      </w: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1E1E1E"/>
        </w:rPr>
        <w:t>Definitive Healthcare Corp.</w:t>
      </w:r>
    </w:p>
    <w:p>
      <w:pPr>
        <w:spacing w:after="0" w:line="260" w:lineRule="exact"/>
        <w:rPr>
          <w:sz w:val="20"/>
          <w:szCs w:val="20"/>
          <w:color w:val="auto"/>
        </w:rPr>
      </w:pPr>
    </w:p>
    <w:p>
      <w:pPr>
        <w:spacing w:after="0"/>
        <w:tabs>
          <w:tab w:leader="none" w:pos="4900" w:val="left"/>
          <w:tab w:leader="none" w:pos="7200" w:val="left"/>
        </w:tabs>
        <w:rPr>
          <w:sz w:val="20"/>
          <w:szCs w:val="20"/>
          <w:color w:val="auto"/>
        </w:rPr>
      </w:pPr>
      <w:r>
        <w:rPr>
          <w:rFonts w:ascii="Times New Roman" w:cs="Times New Roman" w:eastAsia="Times New Roman" w:hAnsi="Times New Roman"/>
          <w:sz w:val="20"/>
          <w:szCs w:val="20"/>
          <w:color w:val="1E1E1E"/>
        </w:rPr>
        <w:t>Date: February 28, 2024</w:t>
      </w:r>
      <w:r>
        <w:rPr>
          <w:sz w:val="20"/>
          <w:szCs w:val="20"/>
          <w:color w:val="auto"/>
        </w:rPr>
        <w:tab/>
      </w:r>
      <w:r>
        <w:rPr>
          <w:rFonts w:ascii="Times New Roman" w:cs="Times New Roman" w:eastAsia="Times New Roman" w:hAnsi="Times New Roman"/>
          <w:sz w:val="20"/>
          <w:szCs w:val="20"/>
          <w:color w:val="1E1E1E"/>
        </w:rPr>
        <w:t>By:</w:t>
      </w:r>
      <w:r>
        <w:rPr>
          <w:sz w:val="20"/>
          <w:szCs w:val="20"/>
          <w:color w:val="auto"/>
        </w:rPr>
        <w:tab/>
      </w:r>
      <w:r>
        <w:rPr>
          <w:rFonts w:ascii="Times New Roman" w:cs="Times New Roman" w:eastAsia="Times New Roman" w:hAnsi="Times New Roman"/>
          <w:sz w:val="20"/>
          <w:szCs w:val="20"/>
          <w:color w:val="1E1E1E"/>
        </w:rPr>
        <w:t>/s/ Jason Krantz</w:t>
      </w:r>
    </w:p>
    <w:p>
      <w:pPr>
        <w:spacing w:after="0" w:line="1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0"/>
          <w:szCs w:val="20"/>
          <w:b w:val="1"/>
          <w:bCs w:val="1"/>
          <w:color w:val="1E1E1E"/>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-142240</wp:posOffset>
            </wp:positionV>
            <wp:extent cx="3011170"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11170" cy="4763"/>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20"/>
          <w:szCs w:val="20"/>
          <w:b w:val="1"/>
          <w:bCs w:val="1"/>
          <w:color w:val="1E1E1E"/>
        </w:rPr>
        <w:t>Executive Chairman and Interim Chief Executive</w:t>
      </w:r>
    </w:p>
    <w:p>
      <w:pPr>
        <w:ind w:left="7540"/>
        <w:spacing w:after="0"/>
        <w:rPr>
          <w:sz w:val="20"/>
          <w:szCs w:val="20"/>
          <w:color w:val="auto"/>
        </w:rPr>
      </w:pPr>
      <w:r>
        <w:rPr>
          <w:rFonts w:ascii="Times New Roman" w:cs="Times New Roman" w:eastAsia="Times New Roman" w:hAnsi="Times New Roman"/>
          <w:sz w:val="20"/>
          <w:szCs w:val="20"/>
          <w:b w:val="1"/>
          <w:bCs w:val="1"/>
          <w:color w:val="1E1E1E"/>
        </w:rPr>
        <w:t>Officer</w:t>
      </w:r>
    </w:p>
    <w:p>
      <w:pPr>
        <w:spacing w:after="0" w:line="24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0"/>
          <w:szCs w:val="20"/>
          <w:b w:val="1"/>
          <w:bCs w:val="1"/>
          <w:u w:val="single" w:color="auto"/>
          <w:color w:val="1E1E1E"/>
        </w:rPr>
        <w:t>POWER OF ATTORNEY</w:t>
      </w:r>
    </w:p>
    <w:p>
      <w:pPr>
        <w:spacing w:after="0" w:line="12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Each person whose signature appears below constitutes and appoints Jason Krantz and Richard Booth,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82" w:lineRule="exact"/>
        <w:rPr>
          <w:sz w:val="20"/>
          <w:szCs w:val="20"/>
          <w:color w:val="auto"/>
        </w:rPr>
      </w:pPr>
    </w:p>
    <w:p>
      <w:pPr>
        <w:ind w:right="20" w:firstLine="490"/>
        <w:spacing w:after="0" w:line="279"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as amended, this Report has been signed below by the following persons on behalf of the Registrant in the capacities and on the dates indicated.</w:t>
      </w:r>
    </w:p>
    <w:p>
      <w:pPr>
        <w:spacing w:after="0" w:line="217" w:lineRule="exact"/>
        <w:rPr>
          <w:sz w:val="20"/>
          <w:szCs w:val="20"/>
          <w:color w:val="auto"/>
        </w:rPr>
      </w:pPr>
    </w:p>
    <w:p>
      <w:pPr>
        <w:ind w:left="1480"/>
        <w:spacing w:after="0"/>
        <w:tabs>
          <w:tab w:leader="none" w:pos="5520" w:val="left"/>
          <w:tab w:leader="none" w:pos="8940" w:val="left"/>
        </w:tabs>
        <w:rPr>
          <w:sz w:val="20"/>
          <w:szCs w:val="20"/>
          <w:color w:val="auto"/>
        </w:rPr>
      </w:pPr>
      <w:r>
        <w:rPr>
          <w:rFonts w:ascii="Times New Roman" w:cs="Times New Roman" w:eastAsia="Times New Roman" w:hAnsi="Times New Roman"/>
          <w:sz w:val="16"/>
          <w:szCs w:val="16"/>
          <w:b w:val="1"/>
          <w:bCs w:val="1"/>
          <w:color w:val="1E1E1E"/>
        </w:rPr>
        <w:t>Name</w:t>
      </w:r>
      <w:r>
        <w:rPr>
          <w:sz w:val="20"/>
          <w:szCs w:val="20"/>
          <w:color w:val="auto"/>
        </w:rPr>
        <w:tab/>
      </w:r>
      <w:r>
        <w:rPr>
          <w:rFonts w:ascii="Times New Roman" w:cs="Times New Roman" w:eastAsia="Times New Roman" w:hAnsi="Times New Roman"/>
          <w:sz w:val="16"/>
          <w:szCs w:val="16"/>
          <w:b w:val="1"/>
          <w:bCs w:val="1"/>
          <w:color w:val="1E1E1E"/>
        </w:rPr>
        <w:t>Title</w:t>
      </w:r>
      <w:r>
        <w:rPr>
          <w:sz w:val="20"/>
          <w:szCs w:val="20"/>
          <w:color w:val="auto"/>
        </w:rPr>
        <w:tab/>
      </w:r>
      <w:r>
        <w:rPr>
          <w:rFonts w:ascii="Times New Roman" w:cs="Times New Roman" w:eastAsia="Times New Roman" w:hAnsi="Times New Roman"/>
          <w:sz w:val="16"/>
          <w:szCs w:val="16"/>
          <w:b w:val="1"/>
          <w:bCs w:val="1"/>
          <w:color w:val="1E1E1E"/>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492240" cy="4763"/>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2240" cy="4763"/>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Executive Chairman and Interim Chief Executive</w:t>
            </w:r>
          </w:p>
        </w:tc>
        <w:tc>
          <w:tcPr>
            <w:tcW w:w="1680" w:type="dxa"/>
            <w:vAlign w:val="bottom"/>
          </w:tcPr>
          <w:p>
            <w:pPr>
              <w:spacing w:after="0"/>
              <w:rPr>
                <w:sz w:val="19"/>
                <w:szCs w:val="19"/>
                <w:color w:val="auto"/>
              </w:rPr>
            </w:pPr>
          </w:p>
        </w:tc>
      </w:tr>
      <w:tr>
        <w:trPr>
          <w:trHeight w:val="251"/>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Jason Krantz</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Officer (Principal Executive Officer)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Jason Krantz</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06"/>
        </w:trPr>
        <w:tc>
          <w:tcPr>
            <w:tcW w:w="3380" w:type="dxa"/>
            <w:vAlign w:val="bottom"/>
          </w:tcPr>
          <w:p>
            <w:pPr>
              <w:spacing w:after="0"/>
              <w:rPr>
                <w:sz w:val="24"/>
                <w:szCs w:val="24"/>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Chief Financial Officer (Principal Financial Officer</w:t>
            </w:r>
          </w:p>
        </w:tc>
        <w:tc>
          <w:tcPr>
            <w:tcW w:w="1680" w:type="dxa"/>
            <w:vAlign w:val="bottom"/>
          </w:tcPr>
          <w:p>
            <w:pPr>
              <w:spacing w:after="0"/>
              <w:rPr>
                <w:sz w:val="24"/>
                <w:szCs w:val="24"/>
                <w:color w:val="auto"/>
              </w:rPr>
            </w:pPr>
          </w:p>
        </w:tc>
      </w:tr>
      <w:tr>
        <w:trPr>
          <w:trHeight w:val="251"/>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Richard Booth</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and Accounting Officer)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Richard Booth</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8"/>
              </w:rPr>
              <w:t>/s/ Sastry Chilukuri</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11"/>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Sastry Chilukuri</w:t>
            </w: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Chris Egan</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Chris Egan</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Samuel A. Hamood</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Samuel A. Hamood</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Jeff Haywood</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Jeff Haywood</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Jill Larsen</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Jill Larsen</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Scott Stephenson</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Scott Stephenson</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5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rPr>
              <w:t>/s/ Kathleen A. Winters</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06"/>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Kathleen A. Winters</w:t>
            </w:r>
          </w:p>
        </w:tc>
        <w:tc>
          <w:tcPr>
            <w:tcW w:w="44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3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color w:val="1E1E1E"/>
                <w:w w:val="99"/>
              </w:rPr>
              <w:t>/s/ Lauren Young</w:t>
            </w:r>
          </w:p>
        </w:tc>
        <w:tc>
          <w:tcPr>
            <w:tcW w:w="444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1E1E1E"/>
                <w:w w:val="99"/>
              </w:rPr>
              <w:t>February 28, 2024</w:t>
            </w:r>
          </w:p>
        </w:tc>
      </w:tr>
      <w:tr>
        <w:trPr>
          <w:trHeight w:val="211"/>
        </w:trPr>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Lauren Young</w:t>
            </w:r>
          </w:p>
        </w:tc>
        <w:tc>
          <w:tcPr>
            <w:tcW w:w="444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-3601720</wp:posOffset>
            </wp:positionV>
            <wp:extent cx="67310" cy="4763"/>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4763"/>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-3104515</wp:posOffset>
            </wp:positionV>
            <wp:extent cx="67310" cy="4763"/>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4763"/>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-2399030</wp:posOffset>
            </wp:positionV>
            <wp:extent cx="67310" cy="4763"/>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4763"/>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-2047875</wp:posOffset>
            </wp:positionV>
            <wp:extent cx="67310" cy="4763"/>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4763"/>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-1696720</wp:posOffset>
            </wp:positionV>
            <wp:extent cx="67310" cy="4763"/>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4763"/>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-1345565</wp:posOffset>
            </wp:positionV>
            <wp:extent cx="67310" cy="4763"/>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4763"/>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-994410</wp:posOffset>
            </wp:positionV>
            <wp:extent cx="67310" cy="4763"/>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4763"/>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-497205</wp:posOffset>
            </wp:positionV>
            <wp:extent cx="67310" cy="4763"/>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4763"/>
                    </a:xfrm>
                    <a:prstGeom prst="rect">
                      <a:avLst/>
                    </a:prstGeom>
                    <a:noFill/>
                  </pic:spPr>
                </pic:pic>
              </a:graphicData>
            </a:graphic>
          </wp:anchor>
        </w:drawing>
      </w:r>
    </w:p>
    <w:p>
      <w:pPr>
        <w:sectPr>
          <w:pgSz w:w="11880" w:h="15480" w:orient="portrait"/>
          <w:cols w:equalWidth="0" w:num="1">
            <w:col w:w="10140"/>
          </w:cols>
          <w:pgMar w:left="820" w:top="80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140"/>
          </w:cols>
          <w:pgMar w:left="820" w:top="803" w:right="920" w:bottom="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1880" w:h="15480" w:orient="portrait"/>
          <w:cols w:equalWidth="0" w:num="1">
            <w:col w:w="9000"/>
          </w:cols>
          <w:pgMar w:left="1440" w:top="1440"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75"/>
        </w:trPr>
        <w:tc>
          <w:tcPr>
            <w:tcW w:w="8800" w:type="dxa"/>
            <w:vAlign w:val="bottom"/>
          </w:tcPr>
          <w:p>
            <w:pPr>
              <w:ind w:left="2500"/>
              <w:spacing w:after="0"/>
              <w:rPr>
                <w:sz w:val="20"/>
                <w:szCs w:val="20"/>
                <w:color w:val="auto"/>
              </w:rPr>
            </w:pPr>
            <w:r>
              <w:rPr>
                <w:rFonts w:ascii="Times New Roman" w:cs="Times New Roman" w:eastAsia="Times New Roman" w:hAnsi="Times New Roman"/>
                <w:sz w:val="20"/>
                <w:szCs w:val="20"/>
                <w:b w:val="1"/>
                <w:bCs w:val="1"/>
                <w:color w:val="1E1E1E"/>
              </w:rPr>
              <w:t>INDEX TO CONSOLIDATED FINANCIAL STATEMENTS</w:t>
            </w:r>
          </w:p>
        </w:tc>
        <w:tc>
          <w:tcPr>
            <w:tcW w:w="1420" w:type="dxa"/>
            <w:vAlign w:val="bottom"/>
          </w:tcPr>
          <w:p>
            <w:pPr>
              <w:spacing w:after="0"/>
              <w:rPr>
                <w:sz w:val="23"/>
                <w:szCs w:val="23"/>
                <w:color w:val="auto"/>
              </w:rPr>
            </w:pPr>
          </w:p>
        </w:tc>
      </w:tr>
      <w:tr>
        <w:trPr>
          <w:trHeight w:val="488"/>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F-2</w:t>
            </w:r>
          </w:p>
        </w:tc>
      </w:tr>
      <w:tr>
        <w:trPr>
          <w:trHeight w:val="245"/>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Balance Sheets</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F-5</w:t>
            </w:r>
          </w:p>
        </w:tc>
      </w:tr>
      <w:tr>
        <w:trPr>
          <w:trHeight w:val="245"/>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Operations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F-6</w:t>
            </w:r>
          </w:p>
        </w:tc>
      </w:tr>
      <w:tr>
        <w:trPr>
          <w:trHeight w:val="245"/>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Comprehensive Loss</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F-7</w:t>
            </w:r>
          </w:p>
        </w:tc>
      </w:tr>
      <w:tr>
        <w:trPr>
          <w:trHeight w:val="245"/>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Changes in Members' Equity and Total Equity</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F-8</w:t>
            </w:r>
          </w:p>
        </w:tc>
      </w:tr>
      <w:tr>
        <w:trPr>
          <w:trHeight w:val="245"/>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Consolidated Statements of Cash Flows</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F-10</w:t>
            </w:r>
          </w:p>
        </w:tc>
      </w:tr>
      <w:tr>
        <w:trPr>
          <w:trHeight w:val="268"/>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F-12</w:t>
            </w:r>
          </w:p>
        </w:tc>
      </w:tr>
    </w:tbl>
    <w:p>
      <w:pPr>
        <w:spacing w:after="0" w:line="200" w:lineRule="exact"/>
        <w:rPr>
          <w:sz w:val="20"/>
          <w:szCs w:val="20"/>
          <w:color w:val="auto"/>
        </w:rPr>
      </w:pP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F-1</w:t>
      </w:r>
    </w:p>
    <w:p>
      <w:pPr>
        <w:sectPr>
          <w:pgSz w:w="11880" w:h="15480" w:orient="portrait"/>
          <w:cols w:equalWidth="0" w:num="1">
            <w:col w:w="10220"/>
          </w:cols>
          <w:pgMar w:left="820" w:top="803" w:right="840" w:bottom="0" w:gutter="0" w:footer="0" w:header="0"/>
          <w:type w:val="continuous"/>
        </w:sectPr>
      </w:pPr>
    </w:p>
    <w:bookmarkStart w:id="85" w:name="page86"/>
    <w:bookmarkEnd w:id="85"/>
    <w:p>
      <w:pPr>
        <w:ind w:right="1660" w:firstLine="1684"/>
        <w:spacing w:after="0" w:line="550" w:lineRule="auto"/>
        <w:rPr>
          <w:sz w:val="20"/>
          <w:szCs w:val="20"/>
          <w:color w:val="auto"/>
        </w:rPr>
      </w:pPr>
      <w:r>
        <w:rPr>
          <w:rFonts w:ascii="Times New Roman" w:cs="Times New Roman" w:eastAsia="Times New Roman" w:hAnsi="Times New Roman"/>
          <w:sz w:val="20"/>
          <w:szCs w:val="20"/>
          <w:b w:val="1"/>
          <w:bCs w:val="1"/>
          <w:color w:val="1E1E1E"/>
        </w:rPr>
        <w:t xml:space="preserve">REPORT OF INDEPENDENT REGISTERED PUBLIC ACCOUNTING FIRM </w:t>
      </w:r>
      <w:r>
        <w:rPr>
          <w:rFonts w:ascii="Times New Roman" w:cs="Times New Roman" w:eastAsia="Times New Roman" w:hAnsi="Times New Roman"/>
          <w:sz w:val="20"/>
          <w:szCs w:val="20"/>
          <w:color w:val="1E1E1E"/>
        </w:rPr>
        <w:t>To the shareholders and the Board of Directors of Definitive Healthcare Corp.</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Opinion on the Financial Statements</w:t>
      </w:r>
    </w:p>
    <w:p>
      <w:pPr>
        <w:spacing w:after="0" w:line="13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1E1E1E"/>
        </w:rPr>
        <w:t>We have audited the accompanying consolidated balance sheets of Definitive Healthcare Corp. and subsidiaries (the “Company”) as of December 31, 2023 and 2022, the related consolidated statements of operations, comprehensive loss, changes in members’ equity and total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1E1E1E"/>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20"/>
          <w:szCs w:val="20"/>
          <w:i w:val="1"/>
          <w:iCs w:val="1"/>
          <w:color w:val="1E1E1E"/>
        </w:rPr>
        <w:t xml:space="preserve">Internal Control — Integrated Framework (2013) </w:t>
      </w:r>
      <w:r>
        <w:rPr>
          <w:rFonts w:ascii="Times New Roman" w:cs="Times New Roman" w:eastAsia="Times New Roman" w:hAnsi="Times New Roman"/>
          <w:sz w:val="20"/>
          <w:szCs w:val="20"/>
          <w:color w:val="1E1E1E"/>
        </w:rPr>
        <w:t>issued by the Committee of Sponsoring Organizations of the Treadway</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Commission and our report dated February 28, 2024, expressed an adverse opinion on the Company's internal control over financial reporting because of a material weakness.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Basis for Opinion</w:t>
      </w:r>
    </w:p>
    <w:p>
      <w:pPr>
        <w:spacing w:after="0" w:line="13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20"/>
          <w:szCs w:val="20"/>
          <w:color w:val="1E1E1E"/>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Critical Audit Matters</w:t>
      </w:r>
    </w:p>
    <w:p>
      <w:pPr>
        <w:spacing w:after="0" w:line="1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1E1E1E"/>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17" w:lineRule="exact"/>
        <w:rPr>
          <w:sz w:val="20"/>
          <w:szCs w:val="20"/>
          <w:color w:val="auto"/>
        </w:rPr>
      </w:pPr>
    </w:p>
    <w:p>
      <w:pPr>
        <w:ind w:right="3840"/>
        <w:spacing w:after="0" w:line="383" w:lineRule="auto"/>
        <w:rPr>
          <w:sz w:val="20"/>
          <w:szCs w:val="20"/>
          <w:color w:val="auto"/>
        </w:rPr>
      </w:pPr>
      <w:r>
        <w:rPr>
          <w:rFonts w:ascii="Times New Roman" w:cs="Times New Roman" w:eastAsia="Times New Roman" w:hAnsi="Times New Roman"/>
          <w:sz w:val="20"/>
          <w:szCs w:val="20"/>
          <w:b w:val="1"/>
          <w:bCs w:val="1"/>
          <w:color w:val="1E1E1E"/>
        </w:rPr>
        <w:t>Goodwill Impairment — Refer to Notes 2 and 9 to the financial statements Critical Audit Matter Description</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1E1E1E"/>
        </w:rPr>
        <w:t>The Company's evaluation of goodwill for impairment involves the comparison of the fair value of its one reporting unit to its carrying value. The Company determines the fair value of its reporting unit using income and market approaches. The determination of the fair value using an income approach involved the use of a projected discounted cash flow model that requires management to make significant estimates and assumptions, including the discount rate and forecasts of future revenues and cash flows, among others. The determination of the fair value using the market approach required management to make a significant assumption to determine the estimated control premium. As of September 30, 2023, the Company recorded a goodwill impairment charge of $287.4 million as it was determined that the fair value of its one reporting unit was less than its carrying value. As of December 31, 2023, the goodwill balance was $1,075 million, and as the fair value of the Company’s one reporting unit exceeded its carrying value as of December 31, 2023, no additional impairment was recognized.</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F-2</w:t>
      </w:r>
    </w:p>
    <w:p>
      <w:pPr>
        <w:sectPr>
          <w:pgSz w:w="11880" w:h="15480" w:orient="portrait"/>
          <w:cols w:equalWidth="0" w:num="1">
            <w:col w:w="10200"/>
          </w:cols>
          <w:pgMar w:left="820" w:top="803" w:right="860" w:bottom="0" w:gutter="0" w:footer="0" w:header="0"/>
        </w:sectPr>
      </w:pPr>
    </w:p>
    <w:bookmarkStart w:id="86" w:name="page87"/>
    <w:bookmarkEnd w:id="86"/>
    <w:p>
      <w:pPr>
        <w:ind w:right="20"/>
        <w:spacing w:after="0" w:line="266" w:lineRule="auto"/>
        <w:rPr>
          <w:sz w:val="20"/>
          <w:szCs w:val="20"/>
          <w:color w:val="auto"/>
        </w:rPr>
      </w:pPr>
      <w:r>
        <w:rPr>
          <w:rFonts w:ascii="Times New Roman" w:cs="Times New Roman" w:eastAsia="Times New Roman" w:hAnsi="Times New Roman"/>
          <w:sz w:val="20"/>
          <w:szCs w:val="20"/>
          <w:color w:val="1E1E1E"/>
        </w:rPr>
        <w:t>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estimates and assumptions related to the discount rate, forecasts of future revenues and cash flows and the estimated control premium.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How the Critical Audit Matter Was Addressed in the Audit</w:t>
      </w:r>
    </w:p>
    <w:p>
      <w:pPr>
        <w:spacing w:after="0" w:line="139"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20"/>
          <w:szCs w:val="20"/>
          <w:color w:val="1E1E1E"/>
        </w:rPr>
        <w:t>Our audit procedures related to management’s estimates and assumptions used in its income and market approach models included the following, among others:</w:t>
      </w:r>
    </w:p>
    <w:p>
      <w:pPr>
        <w:spacing w:after="0" w:line="60" w:lineRule="exact"/>
        <w:rPr>
          <w:sz w:val="20"/>
          <w:szCs w:val="20"/>
          <w:color w:val="auto"/>
        </w:rPr>
      </w:pPr>
    </w:p>
    <w:p>
      <w:pPr>
        <w:ind w:left="980" w:hanging="483"/>
        <w:spacing w:after="0" w:line="259"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We tested the effectiveness of controls over management’s goodwill impairment evaluation, including those controls related to management’s selection of the discount rate, forecasts of future revenues and cash flows and the estimated control premium.</w:t>
      </w:r>
    </w:p>
    <w:p>
      <w:pPr>
        <w:spacing w:after="0" w:line="78" w:lineRule="exact"/>
        <w:rPr>
          <w:rFonts w:ascii="Arial" w:cs="Arial" w:eastAsia="Arial" w:hAnsi="Arial"/>
          <w:sz w:val="20"/>
          <w:szCs w:val="20"/>
          <w:color w:val="1E1E1E"/>
        </w:rPr>
      </w:pPr>
    </w:p>
    <w:p>
      <w:pPr>
        <w:ind w:left="980" w:right="160" w:hanging="483"/>
        <w:spacing w:after="0" w:line="252"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We evaluated the reasonableness of management's forecasts of future revenues and cash flows by comparing management’s estimates to (1) historical results, (2) internal communications to management and the Board of Directors, and (3) forecasted information included in Company press releases, analyst and industry reports of the Company and companies in its peer group.</w:t>
      </w:r>
    </w:p>
    <w:p>
      <w:pPr>
        <w:spacing w:after="0" w:line="87" w:lineRule="exact"/>
        <w:rPr>
          <w:rFonts w:ascii="Arial" w:cs="Arial" w:eastAsia="Arial" w:hAnsi="Arial"/>
          <w:sz w:val="20"/>
          <w:szCs w:val="20"/>
          <w:color w:val="1E1E1E"/>
        </w:rPr>
      </w:pPr>
    </w:p>
    <w:p>
      <w:pPr>
        <w:ind w:left="980" w:right="260" w:hanging="483"/>
        <w:spacing w:after="0" w:line="259"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With the assistance of our fair value specialists, we evaluated the discount rate, including testing the underlying source information and the mathematical accuracy of the calculations, and developing a range of independent estimates and comparing those to the discount rate selected by management.</w:t>
      </w:r>
    </w:p>
    <w:p>
      <w:pPr>
        <w:spacing w:after="0" w:line="78" w:lineRule="exact"/>
        <w:rPr>
          <w:rFonts w:ascii="Arial" w:cs="Arial" w:eastAsia="Arial" w:hAnsi="Arial"/>
          <w:sz w:val="20"/>
          <w:szCs w:val="20"/>
          <w:color w:val="1E1E1E"/>
        </w:rPr>
      </w:pPr>
    </w:p>
    <w:p>
      <w:pPr>
        <w:jc w:val="both"/>
        <w:ind w:left="980" w:right="600" w:hanging="483"/>
        <w:spacing w:after="0" w:line="278" w:lineRule="auto"/>
        <w:tabs>
          <w:tab w:leader="none" w:pos="980" w:val="left"/>
        </w:tabs>
        <w:numPr>
          <w:ilvl w:val="0"/>
          <w:numId w:val="33"/>
        </w:numPr>
        <w:rPr>
          <w:rFonts w:ascii="Arial" w:cs="Arial" w:eastAsia="Arial" w:hAnsi="Arial"/>
          <w:sz w:val="20"/>
          <w:szCs w:val="20"/>
          <w:color w:val="1E1E1E"/>
        </w:rPr>
      </w:pPr>
      <w:r>
        <w:rPr>
          <w:rFonts w:ascii="Times New Roman" w:cs="Times New Roman" w:eastAsia="Times New Roman" w:hAnsi="Times New Roman"/>
          <w:sz w:val="20"/>
          <w:szCs w:val="20"/>
          <w:color w:val="1E1E1E"/>
        </w:rPr>
        <w:t>With the assistance of our fair value specialists, we evaluated the reasonableness of the Company’s control premium by comparing it to data from publicly available premium studies for public company transactions.</w:t>
      </w:r>
    </w:p>
    <w:p>
      <w:pPr>
        <w:spacing w:after="0" w:line="283" w:lineRule="exact"/>
        <w:rPr>
          <w:sz w:val="20"/>
          <w:szCs w:val="20"/>
          <w:color w:val="auto"/>
        </w:rPr>
      </w:pPr>
    </w:p>
    <w:p>
      <w:pPr>
        <w:ind w:right="3700"/>
        <w:spacing w:after="0" w:line="383" w:lineRule="auto"/>
        <w:rPr>
          <w:sz w:val="20"/>
          <w:szCs w:val="20"/>
          <w:color w:val="auto"/>
        </w:rPr>
      </w:pPr>
      <w:r>
        <w:rPr>
          <w:rFonts w:ascii="Times New Roman" w:cs="Times New Roman" w:eastAsia="Times New Roman" w:hAnsi="Times New Roman"/>
          <w:sz w:val="20"/>
          <w:szCs w:val="20"/>
          <w:b w:val="1"/>
          <w:bCs w:val="1"/>
          <w:color w:val="1E1E1E"/>
        </w:rPr>
        <w:t>Income Tax Structure — Refer to Notes 2 and 19 to the financial statements Critical Audit Matter Description</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1E1E1E"/>
        </w:rPr>
        <w:t>On September 17, 2021, the Company completed its initial public offering in a series of transaction steps, which resulted in Definitive Healthcare Corp owning a majority of AIDH TopCo, LLC. Definitive Healthcare Corp is a C-corporation holding company owning a partnership interest in AIDH TopCo, LLC, commonly referred to as an Up-C structure. In connection with the initial public offering, the Company entered into a Tax Receivable Agreement (“TRA”) and recorded a liability under the TRA. The balance of the TRA liability on December 31, 2023 was $147.1 million. Under the TRA, the Company generally will be required to pay certain pre-IPO owners 85% of the amount of cash savings, if any, related to any U.S. federal, state, or local taxes that the Company actually realizes. The payments related to the initial and subsequent exchanges are treated as additional consideration paid, which in turn increases the tax basis of the Company’s investment in the Partnership. Most of this additional tax basis is amortizable under requisite sections of the Internal Revenue Code and therefore subject to the TRA.</w:t>
      </w:r>
    </w:p>
    <w:p>
      <w:pPr>
        <w:spacing w:after="0" w:line="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9"/>
          <w:szCs w:val="19"/>
          <w:color w:val="1E1E1E"/>
        </w:rPr>
        <w:t>The amounts payable, as well as the timing of such payments, under the TRA are dependent upon significant future events and assumptions, including among others: (i) the amount and timing of exchanges, (ii) the characterization of the tax basis step-up,</w:t>
      </w:r>
    </w:p>
    <w:p>
      <w:pPr>
        <w:spacing w:after="0" w:line="1" w:lineRule="exact"/>
        <w:rPr>
          <w:sz w:val="20"/>
          <w:szCs w:val="20"/>
          <w:color w:val="auto"/>
        </w:rPr>
      </w:pPr>
    </w:p>
    <w:p>
      <w:pPr>
        <w:ind w:right="420" w:firstLine="8"/>
        <w:spacing w:after="0" w:line="276" w:lineRule="auto"/>
        <w:tabs>
          <w:tab w:leader="none" w:pos="350" w:val="left"/>
        </w:tabs>
        <w:numPr>
          <w:ilvl w:val="0"/>
          <w:numId w:val="3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depreciation and amortization periods that apply to the increase in tax basis, (iv) the amount and timing of taxable income the Company generates in the future, (v) the Company’s state tax footprint in the years in which any benefits are generated and/or realized, and (vi) the U.S. federal and state income tax rates then applicable.</w:t>
      </w:r>
    </w:p>
    <w:p>
      <w:pPr>
        <w:spacing w:after="0" w:line="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0"/>
          <w:szCs w:val="20"/>
          <w:color w:val="1E1E1E"/>
        </w:rPr>
        <w:t>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TRA calculation expertise.</w:t>
      </w:r>
    </w:p>
    <w:p>
      <w:pPr>
        <w:sectPr>
          <w:pgSz w:w="11880" w:h="15480" w:orient="portrait"/>
          <w:cols w:equalWidth="0" w:num="1">
            <w:col w:w="10180"/>
          </w:cols>
          <w:pgMar w:left="820" w:top="80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F-3</w:t>
      </w:r>
    </w:p>
    <w:p>
      <w:pPr>
        <w:sectPr>
          <w:pgSz w:w="11880" w:h="15480" w:orient="portrait"/>
          <w:cols w:equalWidth="0" w:num="1">
            <w:col w:w="10180"/>
          </w:cols>
          <w:pgMar w:left="820" w:top="806" w:right="8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1E1E1E"/>
        </w:rPr>
        <w:t>How the Critical Audit Matter Was Addressed in the Audit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Our audit procedures related to the TRA liability included the following, among others:</w:t>
      </w:r>
    </w:p>
    <w:p>
      <w:pPr>
        <w:spacing w:after="0" w:line="151" w:lineRule="exact"/>
        <w:rPr>
          <w:sz w:val="20"/>
          <w:szCs w:val="20"/>
          <w:color w:val="auto"/>
        </w:rPr>
      </w:pPr>
    </w:p>
    <w:p>
      <w:pPr>
        <w:ind w:left="980" w:right="180" w:hanging="483"/>
        <w:spacing w:after="0" w:line="278" w:lineRule="auto"/>
        <w:tabs>
          <w:tab w:leader="none" w:pos="980" w:val="left"/>
        </w:tabs>
        <w:numPr>
          <w:ilvl w:val="0"/>
          <w:numId w:val="35"/>
        </w:numPr>
        <w:rPr>
          <w:rFonts w:ascii="Arial" w:cs="Arial" w:eastAsia="Arial" w:hAnsi="Arial"/>
          <w:sz w:val="20"/>
          <w:szCs w:val="20"/>
          <w:color w:val="1E1E1E"/>
        </w:rPr>
      </w:pPr>
      <w:r>
        <w:rPr>
          <w:rFonts w:ascii="Times New Roman" w:cs="Times New Roman" w:eastAsia="Times New Roman" w:hAnsi="Times New Roman"/>
          <w:sz w:val="20"/>
          <w:szCs w:val="20"/>
          <w:color w:val="1E1E1E"/>
        </w:rPr>
        <w:t>We tested the effectiveness of controls over management’s determination of the TRA liability, including controls over significant tax judgments and estimates.</w:t>
      </w:r>
    </w:p>
    <w:p>
      <w:pPr>
        <w:spacing w:after="0" w:line="60" w:lineRule="exact"/>
        <w:rPr>
          <w:rFonts w:ascii="Arial" w:cs="Arial" w:eastAsia="Arial" w:hAnsi="Arial"/>
          <w:sz w:val="20"/>
          <w:szCs w:val="20"/>
          <w:color w:val="1E1E1E"/>
        </w:rPr>
      </w:pPr>
    </w:p>
    <w:p>
      <w:pPr>
        <w:ind w:left="980" w:right="660" w:hanging="483"/>
        <w:spacing w:after="0" w:line="278" w:lineRule="auto"/>
        <w:tabs>
          <w:tab w:leader="none" w:pos="980" w:val="left"/>
        </w:tabs>
        <w:numPr>
          <w:ilvl w:val="0"/>
          <w:numId w:val="35"/>
        </w:numPr>
        <w:rPr>
          <w:rFonts w:ascii="Arial" w:cs="Arial" w:eastAsia="Arial" w:hAnsi="Arial"/>
          <w:sz w:val="20"/>
          <w:szCs w:val="20"/>
          <w:color w:val="1E1E1E"/>
        </w:rPr>
      </w:pPr>
      <w:r>
        <w:rPr>
          <w:rFonts w:ascii="Times New Roman" w:cs="Times New Roman" w:eastAsia="Times New Roman" w:hAnsi="Times New Roman"/>
          <w:sz w:val="20"/>
          <w:szCs w:val="20"/>
          <w:color w:val="1E1E1E"/>
        </w:rPr>
        <w:t>With the assistance of our income tax specialists, our audit procedures related to the TRA liability included evaluating and assessing the following, among others:</w:t>
      </w:r>
    </w:p>
    <w:p>
      <w:pPr>
        <w:spacing w:after="0" w:line="60" w:lineRule="exact"/>
        <w:rPr>
          <w:rFonts w:ascii="Arial" w:cs="Arial" w:eastAsia="Arial" w:hAnsi="Arial"/>
          <w:sz w:val="20"/>
          <w:szCs w:val="20"/>
          <w:color w:val="1E1E1E"/>
        </w:rPr>
      </w:pPr>
    </w:p>
    <w:p>
      <w:pPr>
        <w:ind w:left="1480" w:right="160"/>
        <w:spacing w:after="0" w:line="259"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We evaluated the appropriateness of management’s application of the accounting for the TRA liability, and the reasonableness of the methods, inputs, and assumptions used by management to determine the TRA liability.</w:t>
      </w:r>
    </w:p>
    <w:p>
      <w:pPr>
        <w:spacing w:after="0" w:line="79" w:lineRule="exact"/>
        <w:rPr>
          <w:rFonts w:ascii="Arial" w:cs="Arial" w:eastAsia="Arial" w:hAnsi="Arial"/>
          <w:sz w:val="20"/>
          <w:szCs w:val="20"/>
          <w:color w:val="1E1E1E"/>
        </w:rPr>
      </w:pPr>
    </w:p>
    <w:p>
      <w:pPr>
        <w:ind w:left="1480"/>
        <w:spacing w:after="0" w:line="259"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We evaluated the impact of partnership exchange transactions on the computation of the TRA liability by performing testing, on a sample basis, of exchanges, tax basis amounts and calculations related to the step-up in basis.</w:t>
      </w:r>
    </w:p>
    <w:p>
      <w:pPr>
        <w:spacing w:after="0" w:line="79" w:lineRule="exact"/>
        <w:rPr>
          <w:rFonts w:ascii="Arial" w:cs="Arial" w:eastAsia="Arial" w:hAnsi="Arial"/>
          <w:sz w:val="20"/>
          <w:szCs w:val="20"/>
          <w:color w:val="1E1E1E"/>
        </w:rPr>
      </w:pPr>
    </w:p>
    <w:p>
      <w:pPr>
        <w:ind w:left="1480" w:right="160"/>
        <w:spacing w:after="0" w:line="279" w:lineRule="auto"/>
        <w:rPr>
          <w:rFonts w:ascii="Arial" w:cs="Arial" w:eastAsia="Arial" w:hAnsi="Arial"/>
          <w:sz w:val="20"/>
          <w:szCs w:val="20"/>
          <w:color w:val="1E1E1E"/>
        </w:rPr>
      </w:pPr>
      <w:r>
        <w:rPr>
          <w:rFonts w:ascii="Times New Roman" w:cs="Times New Roman" w:eastAsia="Times New Roman" w:hAnsi="Times New Roman"/>
          <w:sz w:val="20"/>
          <w:szCs w:val="20"/>
          <w:color w:val="1E1E1E"/>
        </w:rPr>
        <w:t>We tested the appropriateness of the tax rates and tax amortization utilized in the determination of the TRA liability, by agreeing to the terms in the TRA and applicable federal and state tax laws.</w:t>
      </w:r>
    </w:p>
    <w:p>
      <w:pPr>
        <w:spacing w:after="0" w:line="59" w:lineRule="exact"/>
        <w:rPr>
          <w:rFonts w:ascii="Arial" w:cs="Arial" w:eastAsia="Arial" w:hAnsi="Arial"/>
          <w:sz w:val="20"/>
          <w:szCs w:val="20"/>
          <w:color w:val="1E1E1E"/>
        </w:rPr>
      </w:pPr>
    </w:p>
    <w:p>
      <w:pPr>
        <w:ind w:left="980"/>
        <w:spacing w:after="0"/>
        <w:rPr>
          <w:rFonts w:ascii="Arial" w:cs="Arial" w:eastAsia="Arial" w:hAnsi="Arial"/>
          <w:sz w:val="20"/>
          <w:szCs w:val="20"/>
          <w:color w:val="1E1E1E"/>
        </w:rPr>
      </w:pPr>
      <w:r>
        <w:rPr>
          <w:rFonts w:ascii="Times New Roman" w:cs="Times New Roman" w:eastAsia="Times New Roman" w:hAnsi="Times New Roman"/>
          <w:sz w:val="20"/>
          <w:szCs w:val="20"/>
          <w:color w:val="1E1E1E"/>
        </w:rPr>
        <w:t>We tested the mathematical accuracy of the TRA liability calculation by recomputing the liability.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February 28,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served as the Company’s auditor since 2020.</w:t>
      </w:r>
    </w:p>
    <w:p>
      <w:pPr>
        <w:sectPr>
          <w:pgSz w:w="11880" w:h="15480" w:orient="portrait"/>
          <w:cols w:equalWidth="0" w:num="1">
            <w:col w:w="10220"/>
          </w:cols>
          <w:pgMar w:left="820" w:top="803"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F-4</w:t>
      </w:r>
    </w:p>
    <w:p>
      <w:pPr>
        <w:sectPr>
          <w:pgSz w:w="11880" w:h="15480" w:orient="portrait"/>
          <w:cols w:equalWidth="0" w:num="1">
            <w:col w:w="10220"/>
          </w:cols>
          <w:pgMar w:left="820" w:top="803" w:right="840" w:bottom="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1E1E1E"/>
        </w:rPr>
        <w:t>DEFINITIVE HEALTHCARE CORP.</w:t>
      </w: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(in thousands, except number of shares and par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December 31, 2022</w:t>
            </w:r>
          </w:p>
        </w:tc>
        <w:tc>
          <w:tcPr>
            <w:tcW w:w="0" w:type="dxa"/>
            <w:vAlign w:val="bottom"/>
          </w:tcPr>
          <w:p>
            <w:pPr>
              <w:spacing w:after="0"/>
              <w:rPr>
                <w:sz w:val="1"/>
                <w:szCs w:val="1"/>
                <w:color w:val="auto"/>
              </w:rPr>
            </w:pPr>
          </w:p>
        </w:tc>
      </w:tr>
      <w:tr>
        <w:trPr>
          <w:trHeight w:val="220"/>
        </w:trPr>
        <w:tc>
          <w:tcPr>
            <w:tcW w:w="7020" w:type="dxa"/>
            <w:vAlign w:val="bottom"/>
            <w:tcBorders>
              <w:top w:val="single" w:sz="8" w:color="E4E4E4"/>
            </w:tcBorders>
            <w:gridSpan w:val="2"/>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Assets</w:t>
            </w:r>
          </w:p>
        </w:tc>
        <w:tc>
          <w:tcPr>
            <w:tcW w:w="120" w:type="dxa"/>
            <w:vAlign w:val="bottom"/>
            <w:tcBorders>
              <w:top w:val="single" w:sz="8" w:color="1E1E1E"/>
            </w:tcBorders>
            <w:shd w:val="clear" w:color="auto" w:fill="E4E4E4"/>
          </w:tcPr>
          <w:p>
            <w:pPr>
              <w:spacing w:after="0"/>
              <w:rPr>
                <w:sz w:val="19"/>
                <w:szCs w:val="19"/>
                <w:color w:val="auto"/>
              </w:rPr>
            </w:pPr>
          </w:p>
        </w:tc>
        <w:tc>
          <w:tcPr>
            <w:tcW w:w="1300" w:type="dxa"/>
            <w:vAlign w:val="bottom"/>
            <w:tcBorders>
              <w:top w:val="single" w:sz="8" w:color="1E1E1E"/>
            </w:tcBorders>
            <w:shd w:val="clear" w:color="auto" w:fill="E4E4E4"/>
          </w:tcPr>
          <w:p>
            <w:pPr>
              <w:spacing w:after="0"/>
              <w:rPr>
                <w:sz w:val="19"/>
                <w:szCs w:val="19"/>
                <w:color w:val="auto"/>
              </w:rPr>
            </w:pPr>
          </w:p>
        </w:tc>
        <w:tc>
          <w:tcPr>
            <w:tcW w:w="280" w:type="dxa"/>
            <w:vAlign w:val="bottom"/>
            <w:tcBorders>
              <w:top w:val="single" w:sz="8" w:color="E4E4E4"/>
            </w:tcBorders>
            <w:shd w:val="clear" w:color="auto" w:fill="E4E4E4"/>
          </w:tcPr>
          <w:p>
            <w:pPr>
              <w:spacing w:after="0"/>
              <w:rPr>
                <w:sz w:val="19"/>
                <w:szCs w:val="19"/>
                <w:color w:val="auto"/>
              </w:rPr>
            </w:pPr>
          </w:p>
        </w:tc>
        <w:tc>
          <w:tcPr>
            <w:tcW w:w="360" w:type="dxa"/>
            <w:vAlign w:val="bottom"/>
            <w:tcBorders>
              <w:top w:val="single" w:sz="8" w:color="1E1E1E"/>
            </w:tcBorders>
            <w:shd w:val="clear" w:color="auto" w:fill="E4E4E4"/>
          </w:tcPr>
          <w:p>
            <w:pPr>
              <w:spacing w:after="0"/>
              <w:rPr>
                <w:sz w:val="19"/>
                <w:szCs w:val="19"/>
                <w:color w:val="auto"/>
              </w:rPr>
            </w:pPr>
          </w:p>
        </w:tc>
        <w:tc>
          <w:tcPr>
            <w:tcW w:w="106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Current assets: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130,976</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146,934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Short-term investments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177,092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Accounts receivable, net</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59,249</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58,799</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Prepaid expenses and other assets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13,120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Deferred contract costs</w:t>
            </w:r>
          </w:p>
        </w:tc>
        <w:tc>
          <w:tcPr>
            <w:tcW w:w="120" w:type="dxa"/>
            <w:vAlign w:val="bottom"/>
            <w:tcBorders>
              <w:bottom w:val="single" w:sz="8" w:color="1E1E1E"/>
            </w:tcBorders>
            <w:shd w:val="clear" w:color="auto" w:fill="E4E4E4"/>
          </w:tcPr>
          <w:p>
            <w:pPr>
              <w:spacing w:after="0"/>
              <w:rPr>
                <w:sz w:val="19"/>
                <w:szCs w:val="19"/>
                <w:color w:val="auto"/>
              </w:rPr>
            </w:pPr>
          </w:p>
        </w:tc>
        <w:tc>
          <w:tcPr>
            <w:tcW w:w="13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13,490</w:t>
            </w:r>
          </w:p>
        </w:tc>
        <w:tc>
          <w:tcPr>
            <w:tcW w:w="28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spacing w:after="0"/>
              <w:rPr>
                <w:sz w:val="19"/>
                <w:szCs w:val="19"/>
                <w:color w:val="auto"/>
              </w:rPr>
            </w:pPr>
          </w:p>
        </w:tc>
        <w:tc>
          <w:tcPr>
            <w:tcW w:w="10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10,387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1E1E1E"/>
              </w:rPr>
              <w:t>Total current assets</w:t>
            </w:r>
          </w:p>
        </w:tc>
        <w:tc>
          <w:tcPr>
            <w:tcW w:w="120" w:type="dxa"/>
            <w:vAlign w:val="bottom"/>
          </w:tcPr>
          <w:p>
            <w:pPr>
              <w:spacing w:after="0"/>
              <w:rPr>
                <w:sz w:val="19"/>
                <w:szCs w:val="19"/>
                <w:color w:val="auto"/>
              </w:rPr>
            </w:pPr>
          </w:p>
        </w:tc>
        <w:tc>
          <w:tcPr>
            <w:tcW w:w="13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393,927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413,745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Property and equipment, net</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4,471</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4,464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Operating lease right-of-use assets, net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 assets</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2,388</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4,683</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Deferred contract costs, net of current portion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17,320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Intangible assets, net</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323,121</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350,722</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20"/>
                <w:szCs w:val="20"/>
                <w:color w:val="1E1E1E"/>
              </w:rPr>
              <w:t>Goodwill</w:t>
            </w:r>
          </w:p>
        </w:tc>
        <w:tc>
          <w:tcPr>
            <w:tcW w:w="120" w:type="dxa"/>
            <w:vAlign w:val="bottom"/>
            <w:tcBorders>
              <w:bottom w:val="single" w:sz="8" w:color="1E1E1E"/>
            </w:tcBorders>
          </w:tcPr>
          <w:p>
            <w:pPr>
              <w:spacing w:after="0"/>
              <w:rPr>
                <w:sz w:val="19"/>
                <w:szCs w:val="19"/>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1,075,080</w:t>
            </w:r>
          </w:p>
        </w:tc>
        <w:tc>
          <w:tcPr>
            <w:tcW w:w="280" w:type="dxa"/>
            <w:vAlign w:val="bottom"/>
            <w:tcBorders>
              <w:bottom w:val="single" w:sz="8" w:color="E4E4E4"/>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1,324,733</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1E1E1E"/>
              </w:rPr>
              <w:t>Total assets</w:t>
            </w:r>
          </w:p>
        </w:tc>
        <w:tc>
          <w:tcPr>
            <w:tcW w:w="160" w:type="dxa"/>
            <w:vAlign w:val="bottom"/>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3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1,825,901</w:t>
            </w:r>
          </w:p>
        </w:tc>
        <w:tc>
          <w:tcPr>
            <w:tcW w:w="28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2,122,624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Liabilities and Equity</w:t>
            </w:r>
          </w:p>
        </w:tc>
        <w:tc>
          <w:tcPr>
            <w:tcW w:w="120" w:type="dxa"/>
            <w:vAlign w:val="bottom"/>
            <w:tcBorders>
              <w:bottom w:val="single" w:sz="8" w:color="1E1E1E"/>
            </w:tcBorders>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Current liabilities:</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Accounts payable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Accrued expenses and other liabilities</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51,529</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26,855</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Deferred revenue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97,377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Term loan</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13,750</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8,594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E4E4E4"/>
            </w:tcBorders>
            <w:gridSpan w:val="2"/>
          </w:tcPr>
          <w:p>
            <w:pPr>
              <w:ind w:left="200"/>
              <w:spacing w:after="0"/>
              <w:rPr>
                <w:sz w:val="20"/>
                <w:szCs w:val="20"/>
                <w:color w:val="auto"/>
              </w:rPr>
            </w:pPr>
            <w:r>
              <w:rPr>
                <w:rFonts w:ascii="Times New Roman" w:cs="Times New Roman" w:eastAsia="Times New Roman" w:hAnsi="Times New Roman"/>
                <w:sz w:val="20"/>
                <w:szCs w:val="20"/>
                <w:color w:val="1E1E1E"/>
              </w:rPr>
              <w:t>Operating lease liabilities</w:t>
            </w:r>
          </w:p>
        </w:tc>
        <w:tc>
          <w:tcPr>
            <w:tcW w:w="120" w:type="dxa"/>
            <w:vAlign w:val="bottom"/>
            <w:tcBorders>
              <w:bottom w:val="single" w:sz="8" w:color="1E1E1E"/>
            </w:tcBorders>
          </w:tcPr>
          <w:p>
            <w:pPr>
              <w:spacing w:after="0"/>
              <w:rPr>
                <w:sz w:val="19"/>
                <w:szCs w:val="19"/>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2,239</w:t>
            </w:r>
          </w:p>
        </w:tc>
        <w:tc>
          <w:tcPr>
            <w:tcW w:w="280" w:type="dxa"/>
            <w:vAlign w:val="bottom"/>
            <w:tcBorders>
              <w:bottom w:val="single" w:sz="8" w:color="E4E4E4"/>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1,521</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1E1E1E"/>
              </w:rPr>
              <w:t>Total current liabilities</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170,682</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140,610</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1E1E1E"/>
              </w:rPr>
              <w:t>Long-term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Deferred revenue</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236</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Term loan</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242,567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255,765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Operating lease liabilities</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9,372</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9,969</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Tax receivable agreements liability</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155,111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Deferred tax liabilities</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67,163</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75,737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E4E4E4"/>
            </w:tcBorders>
            <w:gridSpan w:val="2"/>
          </w:tcPr>
          <w:p>
            <w:pPr>
              <w:ind w:left="200"/>
              <w:spacing w:after="0"/>
              <w:rPr>
                <w:sz w:val="20"/>
                <w:szCs w:val="20"/>
                <w:color w:val="auto"/>
              </w:rPr>
            </w:pPr>
            <w:r>
              <w:rPr>
                <w:rFonts w:ascii="Times New Roman" w:cs="Times New Roman" w:eastAsia="Times New Roman" w:hAnsi="Times New Roman"/>
                <w:sz w:val="20"/>
                <w:szCs w:val="20"/>
                <w:color w:val="1E1E1E"/>
              </w:rPr>
              <w:t>Other liabilities</w:t>
            </w:r>
          </w:p>
        </w:tc>
        <w:tc>
          <w:tcPr>
            <w:tcW w:w="120" w:type="dxa"/>
            <w:vAlign w:val="bottom"/>
            <w:tcBorders>
              <w:bottom w:val="single" w:sz="8" w:color="1E1E1E"/>
            </w:tcBorders>
          </w:tcPr>
          <w:p>
            <w:pPr>
              <w:spacing w:after="0"/>
              <w:rPr>
                <w:sz w:val="19"/>
                <w:szCs w:val="19"/>
                <w:color w:val="auto"/>
              </w:rPr>
            </w:pPr>
          </w:p>
        </w:tc>
        <w:tc>
          <w:tcPr>
            <w:tcW w:w="13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9,934</w:t>
            </w:r>
          </w:p>
        </w:tc>
        <w:tc>
          <w:tcPr>
            <w:tcW w:w="280" w:type="dxa"/>
            <w:vAlign w:val="bottom"/>
            <w:tcBorders>
              <w:bottom w:val="single" w:sz="8" w:color="E4E4E4"/>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3,251</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860" w:type="dxa"/>
            <w:vAlign w:val="bottom"/>
            <w:tcBorders>
              <w:bottom w:val="single" w:sz="8" w:color="E4E4E4"/>
            </w:tcBorders>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1E1E1E"/>
              </w:rPr>
              <w:t>Total liabilities</w:t>
            </w:r>
          </w:p>
        </w:tc>
        <w:tc>
          <w:tcPr>
            <w:tcW w:w="16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1E1E1E"/>
            </w:tcBorders>
            <w:shd w:val="clear" w:color="auto" w:fill="E4E4E4"/>
          </w:tcPr>
          <w:p>
            <w:pPr>
              <w:spacing w:after="0"/>
              <w:rPr>
                <w:sz w:val="20"/>
                <w:szCs w:val="20"/>
                <w:color w:val="auto"/>
              </w:rPr>
            </w:pPr>
          </w:p>
        </w:tc>
        <w:tc>
          <w:tcPr>
            <w:tcW w:w="13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626,727</w:t>
            </w:r>
          </w:p>
        </w:tc>
        <w:tc>
          <w:tcPr>
            <w:tcW w:w="2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1E1E1E"/>
            </w:tcBorders>
            <w:shd w:val="clear" w:color="auto" w:fill="E4E4E4"/>
          </w:tcPr>
          <w:p>
            <w:pPr>
              <w:spacing w:after="0"/>
              <w:rPr>
                <w:sz w:val="20"/>
                <w:szCs w:val="20"/>
                <w:color w:val="auto"/>
              </w:rPr>
            </w:pPr>
          </w:p>
        </w:tc>
        <w:tc>
          <w:tcPr>
            <w:tcW w:w="10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640,679</w:t>
            </w:r>
          </w:p>
        </w:tc>
        <w:tc>
          <w:tcPr>
            <w:tcW w:w="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86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1E1E1E"/>
              </w:rPr>
              <w:t>Commitments and Contingencies (Note 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Equity:</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200"/>
              <w:spacing w:after="0" w:line="208" w:lineRule="exact"/>
              <w:rPr>
                <w:sz w:val="20"/>
                <w:szCs w:val="20"/>
                <w:color w:val="auto"/>
              </w:rPr>
            </w:pPr>
            <w:r>
              <w:rPr>
                <w:rFonts w:ascii="Times New Roman" w:cs="Times New Roman" w:eastAsia="Times New Roman" w:hAnsi="Times New Roman"/>
                <w:sz w:val="20"/>
                <w:szCs w:val="20"/>
                <w:color w:val="1E1E1E"/>
              </w:rPr>
              <w:t>Class A Common Stock, par value $0.001, 600,000,000 shares authorized,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116,562,252 and 105,138,273 shares issued and outstanding at December 31, 2023</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and 2022, respectively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20" w:type="dxa"/>
            <w:vAlign w:val="bottom"/>
            <w:gridSpan w:val="2"/>
            <w:shd w:val="clear" w:color="auto" w:fill="E4E4E4"/>
          </w:tcPr>
          <w:p>
            <w:pPr>
              <w:ind w:left="200"/>
              <w:spacing w:after="0" w:line="208" w:lineRule="exact"/>
              <w:rPr>
                <w:sz w:val="20"/>
                <w:szCs w:val="20"/>
                <w:color w:val="auto"/>
              </w:rPr>
            </w:pPr>
            <w:r>
              <w:rPr>
                <w:rFonts w:ascii="Times New Roman" w:cs="Times New Roman" w:eastAsia="Times New Roman" w:hAnsi="Times New Roman"/>
                <w:sz w:val="20"/>
                <w:szCs w:val="20"/>
                <w:color w:val="1E1E1E"/>
              </w:rPr>
              <w:t>Class B Common Stock, par value $0.00001, 65,000,000 shares authorized,</w:t>
            </w:r>
          </w:p>
        </w:tc>
        <w:tc>
          <w:tcPr>
            <w:tcW w:w="12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280" w:type="dxa"/>
            <w:vAlign w:val="bottom"/>
            <w:shd w:val="clear" w:color="auto" w:fill="E4E4E4"/>
          </w:tcPr>
          <w:p>
            <w:pPr>
              <w:spacing w:after="0"/>
              <w:rPr>
                <w:sz w:val="18"/>
                <w:szCs w:val="18"/>
                <w:color w:val="auto"/>
              </w:rPr>
            </w:pPr>
          </w:p>
        </w:tc>
        <w:tc>
          <w:tcPr>
            <w:tcW w:w="360" w:type="dxa"/>
            <w:vAlign w:val="bottom"/>
            <w:shd w:val="clear" w:color="auto" w:fill="E4E4E4"/>
          </w:tcPr>
          <w:p>
            <w:pPr>
              <w:spacing w:after="0"/>
              <w:rPr>
                <w:sz w:val="18"/>
                <w:szCs w:val="18"/>
                <w:color w:val="auto"/>
              </w:rPr>
            </w:pPr>
          </w:p>
        </w:tc>
        <w:tc>
          <w:tcPr>
            <w:tcW w:w="10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39,762,700 and 39,168,047 shares issued and outstanding, respectively, at</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December 31, 2023, and 50,433,101 and 48,923,952 shares issued and</w:t>
            </w:r>
          </w:p>
        </w:tc>
        <w:tc>
          <w:tcPr>
            <w:tcW w:w="120" w:type="dxa"/>
            <w:vAlign w:val="bottom"/>
            <w:shd w:val="clear" w:color="auto" w:fill="E4E4E4"/>
          </w:tcPr>
          <w:p>
            <w:pPr>
              <w:spacing w:after="0"/>
              <w:rPr>
                <w:sz w:val="19"/>
                <w:szCs w:val="19"/>
                <w:color w:val="auto"/>
              </w:rPr>
            </w:pPr>
          </w:p>
        </w:tc>
        <w:tc>
          <w:tcPr>
            <w:tcW w:w="1580" w:type="dxa"/>
            <w:vAlign w:val="bottom"/>
            <w:gridSpan w:val="2"/>
            <w:vMerge w:val="restart"/>
            <w:shd w:val="clear" w:color="auto" w:fill="E4E4E4"/>
          </w:tcPr>
          <w:p>
            <w:pPr>
              <w:jc w:val="right"/>
              <w:ind w:right="28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E4E4E4"/>
          </w:tcPr>
          <w:p>
            <w:pPr>
              <w:spacing w:after="0"/>
              <w:rPr>
                <w:sz w:val="19"/>
                <w:szCs w:val="19"/>
                <w:color w:val="auto"/>
              </w:rPr>
            </w:pPr>
          </w:p>
        </w:tc>
        <w:tc>
          <w:tcPr>
            <w:tcW w:w="1160" w:type="dxa"/>
            <w:vAlign w:val="bottom"/>
            <w:gridSpan w:val="2"/>
            <w:vMerge w:val="restart"/>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51"/>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outstanding, respectively, at December 31, 2022</w:t>
            </w:r>
          </w:p>
        </w:tc>
        <w:tc>
          <w:tcPr>
            <w:tcW w:w="120" w:type="dxa"/>
            <w:vAlign w:val="bottom"/>
            <w:shd w:val="clear" w:color="auto" w:fill="E4E4E4"/>
          </w:tcPr>
          <w:p>
            <w:pPr>
              <w:spacing w:after="0"/>
              <w:rPr>
                <w:sz w:val="21"/>
                <w:szCs w:val="21"/>
                <w:color w:val="auto"/>
              </w:rPr>
            </w:pPr>
          </w:p>
        </w:tc>
        <w:tc>
          <w:tcPr>
            <w:tcW w:w="1580" w:type="dxa"/>
            <w:vAlign w:val="bottom"/>
            <w:gridSpan w:val="2"/>
            <w:vMerge w:val="continue"/>
            <w:shd w:val="clear" w:color="auto" w:fill="E4E4E4"/>
          </w:tcPr>
          <w:p>
            <w:pPr>
              <w:spacing w:after="0"/>
              <w:rPr>
                <w:sz w:val="21"/>
                <w:szCs w:val="21"/>
                <w:color w:val="auto"/>
              </w:rPr>
            </w:pPr>
          </w:p>
        </w:tc>
        <w:tc>
          <w:tcPr>
            <w:tcW w:w="360" w:type="dxa"/>
            <w:vAlign w:val="bottom"/>
            <w:shd w:val="clear" w:color="auto" w:fill="E4E4E4"/>
          </w:tcPr>
          <w:p>
            <w:pPr>
              <w:spacing w:after="0"/>
              <w:rPr>
                <w:sz w:val="21"/>
                <w:szCs w:val="21"/>
                <w:color w:val="auto"/>
              </w:rPr>
            </w:pPr>
          </w:p>
        </w:tc>
        <w:tc>
          <w:tcPr>
            <w:tcW w:w="1160" w:type="dxa"/>
            <w:vAlign w:val="bottom"/>
            <w:gridSpan w:val="2"/>
            <w:vMerge w:val="continue"/>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Additional paid-in capital</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1,086,581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970,207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Accumulated other comprehensive income</w:t>
            </w: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2,109</w:t>
            </w:r>
          </w:p>
        </w:tc>
        <w:tc>
          <w:tcPr>
            <w:tcW w:w="2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3,668</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E1E1E"/>
              </w:rPr>
              <w:t>Accumulated deficit</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(227,450)</w:t>
            </w:r>
          </w:p>
        </w:tc>
        <w:tc>
          <w:tcPr>
            <w:tcW w:w="3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(25,062)</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E4E4E4"/>
            </w:tcBorders>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Noncontrolling interests</w:t>
            </w:r>
          </w:p>
        </w:tc>
        <w:tc>
          <w:tcPr>
            <w:tcW w:w="120" w:type="dxa"/>
            <w:vAlign w:val="bottom"/>
            <w:tcBorders>
              <w:bottom w:val="single" w:sz="8" w:color="1E1E1E"/>
            </w:tcBorders>
            <w:shd w:val="clear" w:color="auto" w:fill="E4E4E4"/>
          </w:tcPr>
          <w:p>
            <w:pPr>
              <w:spacing w:after="0"/>
              <w:rPr>
                <w:sz w:val="21"/>
                <w:szCs w:val="21"/>
                <w:color w:val="auto"/>
              </w:rPr>
            </w:pPr>
          </w:p>
        </w:tc>
        <w:tc>
          <w:tcPr>
            <w:tcW w:w="13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337,817</w:t>
            </w:r>
          </w:p>
        </w:tc>
        <w:tc>
          <w:tcPr>
            <w:tcW w:w="28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1E1E1E"/>
            </w:tcBorders>
            <w:shd w:val="clear" w:color="auto" w:fill="E4E4E4"/>
          </w:tcPr>
          <w:p>
            <w:pPr>
              <w:spacing w:after="0"/>
              <w:rPr>
                <w:sz w:val="21"/>
                <w:szCs w:val="21"/>
                <w:color w:val="auto"/>
              </w:rPr>
            </w:pPr>
          </w:p>
        </w:tc>
        <w:tc>
          <w:tcPr>
            <w:tcW w:w="10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533,027</w:t>
            </w:r>
          </w:p>
        </w:tc>
        <w:tc>
          <w:tcPr>
            <w:tcW w:w="100" w:type="dxa"/>
            <w:vAlign w:val="bottom"/>
            <w:tcBorders>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020" w:type="dxa"/>
            <w:vAlign w:val="bottom"/>
            <w:tcBorders>
              <w:bottom w:val="single" w:sz="8" w:color="E4E4E4"/>
            </w:tcBorders>
            <w:gridSpan w:val="2"/>
          </w:tcPr>
          <w:p>
            <w:pPr>
              <w:ind w:left="400"/>
              <w:spacing w:after="0" w:line="200" w:lineRule="exact"/>
              <w:rPr>
                <w:sz w:val="20"/>
                <w:szCs w:val="20"/>
                <w:color w:val="auto"/>
              </w:rPr>
            </w:pPr>
            <w:r>
              <w:rPr>
                <w:rFonts w:ascii="Times New Roman" w:cs="Times New Roman" w:eastAsia="Times New Roman" w:hAnsi="Times New Roman"/>
                <w:sz w:val="20"/>
                <w:szCs w:val="20"/>
                <w:b w:val="1"/>
                <w:bCs w:val="1"/>
                <w:color w:val="1E1E1E"/>
              </w:rPr>
              <w:t>Total equity</w:t>
            </w:r>
          </w:p>
        </w:tc>
        <w:tc>
          <w:tcPr>
            <w:tcW w:w="120" w:type="dxa"/>
            <w:vAlign w:val="bottom"/>
            <w:tcBorders>
              <w:bottom w:val="single" w:sz="8" w:color="1E1E1E"/>
            </w:tcBorders>
          </w:tcPr>
          <w:p>
            <w:pPr>
              <w:spacing w:after="0"/>
              <w:rPr>
                <w:sz w:val="17"/>
                <w:szCs w:val="17"/>
                <w:color w:val="auto"/>
              </w:rPr>
            </w:pPr>
          </w:p>
        </w:tc>
        <w:tc>
          <w:tcPr>
            <w:tcW w:w="130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20"/>
                <w:szCs w:val="20"/>
                <w:color w:val="1E1E1E"/>
              </w:rPr>
              <w:t>1,199,174</w:t>
            </w:r>
          </w:p>
        </w:tc>
        <w:tc>
          <w:tcPr>
            <w:tcW w:w="280" w:type="dxa"/>
            <w:vAlign w:val="bottom"/>
            <w:tcBorders>
              <w:bottom w:val="single" w:sz="8" w:color="E4E4E4"/>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060" w:type="dxa"/>
            <w:vAlign w:val="bottom"/>
            <w:tcBorders>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20"/>
                <w:szCs w:val="20"/>
                <w:color w:val="1E1E1E"/>
              </w:rPr>
              <w:t>1,481,945</w:t>
            </w:r>
          </w:p>
        </w:tc>
        <w:tc>
          <w:tcPr>
            <w:tcW w:w="10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1E1E1E"/>
              </w:rPr>
              <w:t>Total liabilities and equity</w:t>
            </w:r>
          </w:p>
        </w:tc>
        <w:tc>
          <w:tcPr>
            <w:tcW w:w="160" w:type="dxa"/>
            <w:vAlign w:val="bottom"/>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3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1,825,901</w:t>
            </w:r>
          </w:p>
        </w:tc>
        <w:tc>
          <w:tcPr>
            <w:tcW w:w="28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2,122,624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4460240</wp:posOffset>
            </wp:positionH>
            <wp:positionV relativeFrom="paragraph">
              <wp:posOffset>-141605</wp:posOffset>
            </wp:positionV>
            <wp:extent cx="197231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72310" cy="9525"/>
                    </a:xfrm>
                    <a:prstGeom prst="rect">
                      <a:avLst/>
                    </a:prstGeom>
                    <a:noFill/>
                  </pic:spPr>
                </pic:pic>
              </a:graphicData>
            </a:graphic>
          </wp:anchor>
        </w:drawing>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F-5</w:t>
      </w:r>
    </w:p>
    <w:p>
      <w:pPr>
        <w:sectPr>
          <w:pgSz w:w="11880" w:h="15480" w:orient="portrait"/>
          <w:cols w:equalWidth="0" w:num="1">
            <w:col w:w="10240"/>
          </w:cols>
          <w:pgMar w:left="820" w:top="803" w:right="820" w:bottom="0" w:gutter="0" w:footer="0" w:header="0"/>
          <w:type w:val="continuous"/>
        </w:sectPr>
      </w:pPr>
    </w:p>
    <w:bookmarkStart w:id="89" w:name="page90"/>
    <w:bookmarkEnd w:id="89"/>
    <w:p>
      <w:pPr>
        <w:jc w:val="center"/>
        <w:spacing w:after="0" w:line="261" w:lineRule="auto"/>
        <w:rPr>
          <w:sz w:val="20"/>
          <w:szCs w:val="20"/>
          <w:color w:val="auto"/>
        </w:rPr>
      </w:pPr>
      <w:r>
        <w:rPr>
          <w:rFonts w:ascii="Times New Roman" w:cs="Times New Roman" w:eastAsia="Times New Roman" w:hAnsi="Times New Roman"/>
          <w:sz w:val="20"/>
          <w:szCs w:val="20"/>
          <w:b w:val="1"/>
          <w:bCs w:val="1"/>
          <w:color w:val="1E1E1E"/>
        </w:rPr>
        <w:t xml:space="preserve">DEFINITIVE HEALTHCARE CORP. CONSOLIDATED STATEMENTS OF OPERATIONS </w:t>
      </w:r>
      <w:r>
        <w:rPr>
          <w:rFonts w:ascii="Times New Roman" w:cs="Times New Roman" w:eastAsia="Times New Roman" w:hAnsi="Times New Roman"/>
          <w:sz w:val="20"/>
          <w:szCs w:val="20"/>
          <w:i w:val="1"/>
          <w:iCs w:val="1"/>
          <w:color w:val="1E1E1E"/>
        </w:rPr>
        <w:t>(amounts in thousands, except share amounts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100" w:type="dxa"/>
            <w:vAlign w:val="bottom"/>
            <w:tcBorders>
              <w:bottom w:val="single" w:sz="8" w:color="1E1E1E"/>
            </w:tcBorders>
          </w:tcPr>
          <w:p>
            <w:pPr>
              <w:spacing w:after="0"/>
              <w:rPr>
                <w:sz w:val="17"/>
                <w:szCs w:val="17"/>
                <w:color w:val="auto"/>
              </w:rPr>
            </w:pPr>
          </w:p>
        </w:tc>
        <w:tc>
          <w:tcPr>
            <w:tcW w:w="180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1E1E1E"/>
                <w:w w:val="99"/>
              </w:rPr>
              <w:t>Year Ended December 31,</w:t>
            </w:r>
          </w:p>
        </w:tc>
        <w:tc>
          <w:tcPr>
            <w:tcW w:w="26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540" w:type="dxa"/>
            <w:vAlign w:val="bottom"/>
            <w:tcBorders>
              <w:bottom w:val="single" w:sz="8" w:color="E4E4E4"/>
            </w:tcBorders>
          </w:tcPr>
          <w:p>
            <w:pPr>
              <w:spacing w:after="0"/>
              <w:rPr>
                <w:sz w:val="15"/>
                <w:szCs w:val="15"/>
                <w:color w:val="auto"/>
              </w:rPr>
            </w:pPr>
          </w:p>
        </w:tc>
        <w:tc>
          <w:tcPr>
            <w:tcW w:w="140" w:type="dxa"/>
            <w:vAlign w:val="bottom"/>
            <w:tcBorders>
              <w:bottom w:val="single" w:sz="8" w:color="E4E4E4"/>
            </w:tcBorders>
          </w:tcPr>
          <w:p>
            <w:pPr>
              <w:spacing w:after="0"/>
              <w:rPr>
                <w:sz w:val="15"/>
                <w:szCs w:val="15"/>
                <w:color w:val="auto"/>
              </w:rPr>
            </w:pPr>
          </w:p>
        </w:tc>
        <w:tc>
          <w:tcPr>
            <w:tcW w:w="220" w:type="dxa"/>
            <w:vAlign w:val="bottom"/>
            <w:tcBorders>
              <w:bottom w:val="single" w:sz="8" w:color="1E1E1E"/>
            </w:tcBorders>
          </w:tcPr>
          <w:p>
            <w:pPr>
              <w:spacing w:after="0"/>
              <w:rPr>
                <w:sz w:val="15"/>
                <w:szCs w:val="15"/>
                <w:color w:val="auto"/>
              </w:rPr>
            </w:pPr>
          </w:p>
        </w:tc>
        <w:tc>
          <w:tcPr>
            <w:tcW w:w="1100" w:type="dxa"/>
            <w:vAlign w:val="bottom"/>
            <w:tcBorders>
              <w:bottom w:val="single" w:sz="8" w:color="1E1E1E"/>
            </w:tcBorders>
          </w:tcPr>
          <w:p>
            <w:pPr>
              <w:jc w:val="right"/>
              <w:ind w:right="401"/>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5"/>
                <w:szCs w:val="15"/>
                <w:color w:val="auto"/>
              </w:rPr>
            </w:pPr>
          </w:p>
        </w:tc>
        <w:tc>
          <w:tcPr>
            <w:tcW w:w="220" w:type="dxa"/>
            <w:vAlign w:val="bottom"/>
            <w:tcBorders>
              <w:bottom w:val="single" w:sz="8" w:color="1E1E1E"/>
            </w:tcBorders>
          </w:tcPr>
          <w:p>
            <w:pPr>
              <w:spacing w:after="0"/>
              <w:rPr>
                <w:sz w:val="15"/>
                <w:szCs w:val="15"/>
                <w:color w:val="auto"/>
              </w:rPr>
            </w:pPr>
          </w:p>
        </w:tc>
        <w:tc>
          <w:tcPr>
            <w:tcW w:w="1100" w:type="dxa"/>
            <w:vAlign w:val="bottom"/>
            <w:tcBorders>
              <w:bottom w:val="single" w:sz="8" w:color="1E1E1E"/>
            </w:tcBorders>
          </w:tcPr>
          <w:p>
            <w:pPr>
              <w:jc w:val="right"/>
              <w:ind w:right="401"/>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4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1080" w:type="dxa"/>
            <w:vAlign w:val="bottom"/>
            <w:tcBorders>
              <w:bottom w:val="single" w:sz="8" w:color="1E1E1E"/>
            </w:tcBorders>
          </w:tcPr>
          <w:p>
            <w:pPr>
              <w:jc w:val="right"/>
              <w:ind w:right="421"/>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Revenue</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251,415</w:t>
            </w: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222,653</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166,154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Cost of revenue exclusive of amortization</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34,740</w:t>
            </w: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25,866</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19,421</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Amortization</w:t>
            </w:r>
          </w:p>
        </w:tc>
        <w:tc>
          <w:tcPr>
            <w:tcW w:w="140" w:type="dxa"/>
            <w:vAlign w:val="bottom"/>
            <w:tcBorders>
              <w:bottom w:val="single" w:sz="8" w:color="E4E4E4"/>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12,742</w:t>
            </w:r>
          </w:p>
        </w:tc>
        <w:tc>
          <w:tcPr>
            <w:tcW w:w="240" w:type="dxa"/>
            <w:vAlign w:val="bottom"/>
            <w:tcBorders>
              <w:bottom w:val="single" w:sz="8" w:color="E4E4E4"/>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16,759</w:t>
            </w:r>
          </w:p>
        </w:tc>
        <w:tc>
          <w:tcPr>
            <w:tcW w:w="24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21,268</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E4E4E4"/>
          </w:tcPr>
          <w:p>
            <w:pPr>
              <w:ind w:left="600"/>
              <w:spacing w:after="0" w:line="220" w:lineRule="exact"/>
              <w:rPr>
                <w:sz w:val="20"/>
                <w:szCs w:val="20"/>
                <w:color w:val="auto"/>
              </w:rPr>
            </w:pPr>
            <w:r>
              <w:rPr>
                <w:rFonts w:ascii="Times New Roman" w:cs="Times New Roman" w:eastAsia="Times New Roman" w:hAnsi="Times New Roman"/>
                <w:sz w:val="20"/>
                <w:szCs w:val="20"/>
                <w:color w:val="1E1E1E"/>
              </w:rPr>
              <w:t>Gross profit</w:t>
            </w:r>
          </w:p>
        </w:tc>
        <w:tc>
          <w:tcPr>
            <w:tcW w:w="140" w:type="dxa"/>
            <w:vAlign w:val="bottom"/>
            <w:shd w:val="clear" w:color="auto" w:fill="E4E4E4"/>
          </w:tcPr>
          <w:p>
            <w:pPr>
              <w:spacing w:after="0"/>
              <w:rPr>
                <w:sz w:val="19"/>
                <w:szCs w:val="19"/>
                <w:color w:val="auto"/>
              </w:rPr>
            </w:pPr>
          </w:p>
        </w:tc>
        <w:tc>
          <w:tcPr>
            <w:tcW w:w="22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203,933</w:t>
            </w:r>
          </w:p>
        </w:tc>
        <w:tc>
          <w:tcPr>
            <w:tcW w:w="240" w:type="dxa"/>
            <w:vAlign w:val="bottom"/>
            <w:shd w:val="clear" w:color="auto" w:fill="E4E4E4"/>
          </w:tcPr>
          <w:p>
            <w:pPr>
              <w:spacing w:after="0"/>
              <w:rPr>
                <w:sz w:val="19"/>
                <w:szCs w:val="19"/>
                <w:color w:val="auto"/>
              </w:rPr>
            </w:pPr>
          </w:p>
        </w:tc>
        <w:tc>
          <w:tcPr>
            <w:tcW w:w="22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180,028</w:t>
            </w:r>
          </w:p>
        </w:tc>
        <w:tc>
          <w:tcPr>
            <w:tcW w:w="240" w:type="dxa"/>
            <w:vAlign w:val="bottom"/>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spacing w:after="0"/>
              <w:rPr>
                <w:sz w:val="19"/>
                <w:szCs w:val="19"/>
                <w:color w:val="auto"/>
              </w:rPr>
            </w:pPr>
          </w:p>
        </w:tc>
        <w:tc>
          <w:tcPr>
            <w:tcW w:w="10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125,465</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Operating expenses: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Sales and marketing</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94,534</w:t>
            </w: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89,585</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56,387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Product development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42,441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34,890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58,861</w:t>
            </w: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51,561</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32,864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39,008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40,145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Transaction, integration, and restructuring expenses</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11,489</w:t>
            </w: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7,890</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6,287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Goodwill impairment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287,400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20"/>
        </w:trPr>
        <w:tc>
          <w:tcPr>
            <w:tcW w:w="5540" w:type="dxa"/>
            <w:vAlign w:val="bottom"/>
            <w:tcBorders>
              <w:top w:val="single" w:sz="8" w:color="E4E4E4"/>
            </w:tcBorders>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operating expenses</w:t>
            </w:r>
          </w:p>
        </w:tc>
        <w:tc>
          <w:tcPr>
            <w:tcW w:w="14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bottom w:val="single" w:sz="8" w:color="1E1E1E"/>
            </w:tcBorders>
            <w:shd w:val="clear" w:color="auto" w:fill="E4E4E4"/>
          </w:tcPr>
          <w:p>
            <w:pPr>
              <w:spacing w:after="0"/>
              <w:rPr>
                <w:sz w:val="19"/>
                <w:szCs w:val="19"/>
                <w:color w:val="auto"/>
              </w:rPr>
            </w:pPr>
          </w:p>
        </w:tc>
        <w:tc>
          <w:tcPr>
            <w:tcW w:w="11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533,733</w:t>
            </w:r>
          </w:p>
        </w:tc>
        <w:tc>
          <w:tcPr>
            <w:tcW w:w="24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bottom w:val="single" w:sz="8" w:color="1E1E1E"/>
            </w:tcBorders>
            <w:shd w:val="clear" w:color="auto" w:fill="E4E4E4"/>
          </w:tcPr>
          <w:p>
            <w:pPr>
              <w:spacing w:after="0"/>
              <w:rPr>
                <w:sz w:val="19"/>
                <w:szCs w:val="19"/>
                <w:color w:val="auto"/>
              </w:rPr>
            </w:pPr>
          </w:p>
        </w:tc>
        <w:tc>
          <w:tcPr>
            <w:tcW w:w="11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224,071</w:t>
            </w:r>
          </w:p>
        </w:tc>
        <w:tc>
          <w:tcPr>
            <w:tcW w:w="240" w:type="dxa"/>
            <w:vAlign w:val="bottom"/>
            <w:tcBorders>
              <w:top w:val="single" w:sz="8" w:color="E4E4E4"/>
            </w:tcBorders>
            <w:shd w:val="clear" w:color="auto" w:fill="E4E4E4"/>
          </w:tcPr>
          <w:p>
            <w:pPr>
              <w:spacing w:after="0"/>
              <w:rPr>
                <w:sz w:val="19"/>
                <w:szCs w:val="19"/>
                <w:color w:val="auto"/>
              </w:rPr>
            </w:pPr>
          </w:p>
        </w:tc>
        <w:tc>
          <w:tcPr>
            <w:tcW w:w="260" w:type="dxa"/>
            <w:vAlign w:val="bottom"/>
            <w:tcBorders>
              <w:top w:val="single" w:sz="8" w:color="1E1E1E"/>
              <w:bottom w:val="single" w:sz="8" w:color="1E1E1E"/>
            </w:tcBorders>
            <w:shd w:val="clear" w:color="auto" w:fill="E4E4E4"/>
          </w:tcPr>
          <w:p>
            <w:pPr>
              <w:spacing w:after="0"/>
              <w:rPr>
                <w:sz w:val="19"/>
                <w:szCs w:val="19"/>
                <w:color w:val="auto"/>
              </w:rPr>
            </w:pPr>
          </w:p>
        </w:tc>
        <w:tc>
          <w:tcPr>
            <w:tcW w:w="108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152,782</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tcPr>
          <w:p>
            <w:pPr>
              <w:ind w:left="600"/>
              <w:spacing w:after="0" w:line="220" w:lineRule="exact"/>
              <w:rPr>
                <w:sz w:val="20"/>
                <w:szCs w:val="20"/>
                <w:color w:val="auto"/>
              </w:rPr>
            </w:pPr>
            <w:r>
              <w:rPr>
                <w:rFonts w:ascii="Times New Roman" w:cs="Times New Roman" w:eastAsia="Times New Roman" w:hAnsi="Times New Roman"/>
                <w:sz w:val="20"/>
                <w:szCs w:val="20"/>
                <w:color w:val="1E1E1E"/>
              </w:rPr>
              <w:t>Loss from operations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(329,800)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(44,043)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Interest income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13,644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Interest expense</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(15,203)</w:t>
            </w:r>
          </w:p>
        </w:tc>
        <w:tc>
          <w:tcPr>
            <w:tcW w:w="22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(11,200)</w:t>
            </w:r>
          </w:p>
        </w:tc>
        <w:tc>
          <w:tcPr>
            <w:tcW w:w="26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(25,900)</w:t>
            </w: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Other income, net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23,179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10,579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Loss on extinguishment of debt</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(9,873)</w:t>
            </w:r>
          </w:p>
        </w:tc>
        <w:tc>
          <w:tcPr>
            <w:tcW w:w="0" w:type="dxa"/>
            <w:vAlign w:val="bottom"/>
          </w:tcPr>
          <w:p>
            <w:pPr>
              <w:spacing w:after="0"/>
              <w:rPr>
                <w:sz w:val="1"/>
                <w:szCs w:val="1"/>
                <w:color w:val="auto"/>
              </w:rPr>
            </w:pPr>
          </w:p>
        </w:tc>
      </w:tr>
      <w:tr>
        <w:trPr>
          <w:trHeight w:val="220"/>
        </w:trPr>
        <w:tc>
          <w:tcPr>
            <w:tcW w:w="5540" w:type="dxa"/>
            <w:vAlign w:val="bottom"/>
            <w:tcBorders>
              <w:bottom w:val="single" w:sz="8" w:color="E4E4E4"/>
            </w:tcBorders>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other income (expense), net</w:t>
            </w:r>
          </w:p>
        </w:tc>
        <w:tc>
          <w:tcPr>
            <w:tcW w:w="140" w:type="dxa"/>
            <w:vAlign w:val="bottom"/>
            <w:tcBorders>
              <w:bottom w:val="single" w:sz="8" w:color="E4E4E4"/>
            </w:tcBorders>
          </w:tcPr>
          <w:p>
            <w:pPr>
              <w:spacing w:after="0"/>
              <w:rPr>
                <w:sz w:val="19"/>
                <w:szCs w:val="19"/>
                <w:color w:val="auto"/>
              </w:rPr>
            </w:pPr>
          </w:p>
        </w:tc>
        <w:tc>
          <w:tcPr>
            <w:tcW w:w="220" w:type="dxa"/>
            <w:vAlign w:val="bottom"/>
            <w:tcBorders>
              <w:top w:val="single" w:sz="8" w:color="1E1E1E"/>
              <w:bottom w:val="single" w:sz="8" w:color="1E1E1E"/>
            </w:tcBorders>
          </w:tcPr>
          <w:p>
            <w:pPr>
              <w:spacing w:after="0"/>
              <w:rPr>
                <w:sz w:val="19"/>
                <w:szCs w:val="19"/>
                <w:color w:val="auto"/>
              </w:rPr>
            </w:pPr>
          </w:p>
        </w:tc>
        <w:tc>
          <w:tcPr>
            <w:tcW w:w="1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21,620</w:t>
            </w:r>
          </w:p>
        </w:tc>
        <w:tc>
          <w:tcPr>
            <w:tcW w:w="240" w:type="dxa"/>
            <w:vAlign w:val="bottom"/>
            <w:tcBorders>
              <w:bottom w:val="single" w:sz="8" w:color="E4E4E4"/>
            </w:tcBorders>
          </w:tcPr>
          <w:p>
            <w:pPr>
              <w:spacing w:after="0"/>
              <w:rPr>
                <w:sz w:val="19"/>
                <w:szCs w:val="19"/>
                <w:color w:val="auto"/>
              </w:rPr>
            </w:pPr>
          </w:p>
        </w:tc>
        <w:tc>
          <w:tcPr>
            <w:tcW w:w="220" w:type="dxa"/>
            <w:vAlign w:val="bottom"/>
            <w:tcBorders>
              <w:top w:val="single" w:sz="8" w:color="1E1E1E"/>
              <w:bottom w:val="single" w:sz="8" w:color="1E1E1E"/>
            </w:tcBorders>
          </w:tcPr>
          <w:p>
            <w:pPr>
              <w:spacing w:after="0"/>
              <w:rPr>
                <w:sz w:val="19"/>
                <w:szCs w:val="19"/>
                <w:color w:val="auto"/>
              </w:rPr>
            </w:pPr>
          </w:p>
        </w:tc>
        <w:tc>
          <w:tcPr>
            <w:tcW w:w="1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2,166</w:t>
            </w:r>
          </w:p>
        </w:tc>
        <w:tc>
          <w:tcPr>
            <w:tcW w:w="240" w:type="dxa"/>
            <w:vAlign w:val="bottom"/>
            <w:tcBorders>
              <w:bottom w:val="single" w:sz="8" w:color="E4E4E4"/>
            </w:tcBorders>
          </w:tcPr>
          <w:p>
            <w:pPr>
              <w:spacing w:after="0"/>
              <w:rPr>
                <w:sz w:val="19"/>
                <w:szCs w:val="19"/>
                <w:color w:val="auto"/>
              </w:rPr>
            </w:pPr>
          </w:p>
        </w:tc>
        <w:tc>
          <w:tcPr>
            <w:tcW w:w="260" w:type="dxa"/>
            <w:vAlign w:val="bottom"/>
            <w:tcBorders>
              <w:top w:val="single" w:sz="8" w:color="1E1E1E"/>
              <w:bottom w:val="single" w:sz="8" w:color="1E1E1E"/>
            </w:tcBorders>
          </w:tcPr>
          <w:p>
            <w:pPr>
              <w:spacing w:after="0"/>
              <w:rPr>
                <w:sz w:val="19"/>
                <w:szCs w:val="19"/>
                <w:color w:val="auto"/>
              </w:rPr>
            </w:pPr>
          </w:p>
        </w:tc>
        <w:tc>
          <w:tcPr>
            <w:tcW w:w="10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(35,450)</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E4E4E4"/>
          </w:tcPr>
          <w:p>
            <w:pPr>
              <w:ind w:left="600"/>
              <w:spacing w:after="0" w:line="220" w:lineRule="exact"/>
              <w:rPr>
                <w:sz w:val="20"/>
                <w:szCs w:val="20"/>
                <w:color w:val="auto"/>
              </w:rPr>
            </w:pPr>
            <w:r>
              <w:rPr>
                <w:rFonts w:ascii="Times New Roman" w:cs="Times New Roman" w:eastAsia="Times New Roman" w:hAnsi="Times New Roman"/>
                <w:sz w:val="20"/>
                <w:szCs w:val="20"/>
                <w:color w:val="1E1E1E"/>
              </w:rPr>
              <w:t>Loss before income taxes</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(308,180)</w:t>
            </w: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(41,877)</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(62,767)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Benefit from income taxes</w:t>
            </w:r>
          </w:p>
        </w:tc>
        <w:tc>
          <w:tcPr>
            <w:tcW w:w="140" w:type="dxa"/>
            <w:vAlign w:val="bottom"/>
            <w:tcBorders>
              <w:bottom w:val="single" w:sz="8" w:color="E4E4E4"/>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18,553</w:t>
            </w:r>
          </w:p>
        </w:tc>
        <w:tc>
          <w:tcPr>
            <w:tcW w:w="240" w:type="dxa"/>
            <w:vAlign w:val="bottom"/>
            <w:tcBorders>
              <w:bottom w:val="single" w:sz="8" w:color="E4E4E4"/>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17,698</w:t>
            </w:r>
          </w:p>
        </w:tc>
        <w:tc>
          <w:tcPr>
            <w:tcW w:w="24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443</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E4E4E4"/>
          </w:tcPr>
          <w:p>
            <w:pPr>
              <w:ind w:left="800"/>
              <w:spacing w:after="0" w:line="220" w:lineRule="exact"/>
              <w:rPr>
                <w:sz w:val="20"/>
                <w:szCs w:val="20"/>
                <w:color w:val="auto"/>
              </w:rPr>
            </w:pPr>
            <w:r>
              <w:rPr>
                <w:rFonts w:ascii="Times New Roman" w:cs="Times New Roman" w:eastAsia="Times New Roman" w:hAnsi="Times New Roman"/>
                <w:sz w:val="20"/>
                <w:szCs w:val="20"/>
                <w:color w:val="1E1E1E"/>
              </w:rPr>
              <w:t>Net loss</w:t>
            </w:r>
          </w:p>
        </w:tc>
        <w:tc>
          <w:tcPr>
            <w:tcW w:w="1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(289,627)</w:t>
            </w:r>
          </w:p>
        </w:tc>
        <w:tc>
          <w:tcPr>
            <w:tcW w:w="2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(24,179)</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(62,324)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200"/>
              <w:spacing w:after="0" w:line="208" w:lineRule="exact"/>
              <w:rPr>
                <w:sz w:val="20"/>
                <w:szCs w:val="20"/>
                <w:color w:val="auto"/>
              </w:rPr>
            </w:pPr>
            <w:r>
              <w:rPr>
                <w:rFonts w:ascii="Times New Roman" w:cs="Times New Roman" w:eastAsia="Times New Roman" w:hAnsi="Times New Roman"/>
                <w:sz w:val="20"/>
                <w:szCs w:val="20"/>
                <w:color w:val="1E1E1E"/>
              </w:rPr>
              <w:t>Less: Net loss attributable to Definitive OpCo prior to the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1E1E1E"/>
              </w:rPr>
              <w:t>(34,068)</w:t>
            </w:r>
          </w:p>
        </w:tc>
        <w:tc>
          <w:tcPr>
            <w:tcW w:w="0" w:type="dxa"/>
            <w:vAlign w:val="bottom"/>
          </w:tcPr>
          <w:p>
            <w:pPr>
              <w:spacing w:after="0"/>
              <w:rPr>
                <w:sz w:val="1"/>
                <w:szCs w:val="1"/>
                <w:color w:val="auto"/>
              </w:rPr>
            </w:pPr>
          </w:p>
        </w:tc>
      </w:tr>
      <w:tr>
        <w:trPr>
          <w:trHeight w:val="153"/>
        </w:trPr>
        <w:tc>
          <w:tcPr>
            <w:tcW w:w="55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1E1E1E"/>
              </w:rPr>
              <w:t>Reorganization Transactions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5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5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Less: Net loss attributable to noncontrolling interests</w:t>
            </w:r>
          </w:p>
        </w:tc>
        <w:tc>
          <w:tcPr>
            <w:tcW w:w="14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13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(87,239)</w:t>
            </w:r>
          </w:p>
        </w:tc>
        <w:tc>
          <w:tcPr>
            <w:tcW w:w="220" w:type="dxa"/>
            <w:vAlign w:val="bottom"/>
            <w:shd w:val="clear" w:color="auto" w:fill="E4E4E4"/>
          </w:tcPr>
          <w:p>
            <w:pPr>
              <w:spacing w:after="0"/>
              <w:rPr>
                <w:sz w:val="21"/>
                <w:szCs w:val="21"/>
                <w:color w:val="auto"/>
              </w:rPr>
            </w:pPr>
          </w:p>
        </w:tc>
        <w:tc>
          <w:tcPr>
            <w:tcW w:w="134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(16,957)</w:t>
            </w:r>
          </w:p>
        </w:tc>
        <w:tc>
          <w:tcPr>
            <w:tcW w:w="260" w:type="dxa"/>
            <w:vAlign w:val="bottom"/>
            <w:shd w:val="clear" w:color="auto" w:fill="E4E4E4"/>
          </w:tcPr>
          <w:p>
            <w:pPr>
              <w:spacing w:after="0"/>
              <w:rPr>
                <w:sz w:val="21"/>
                <w:szCs w:val="21"/>
                <w:color w:val="auto"/>
              </w:rPr>
            </w:pPr>
          </w:p>
        </w:tc>
        <w:tc>
          <w:tcPr>
            <w:tcW w:w="11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(10,416)</w:t>
            </w:r>
          </w:p>
        </w:tc>
        <w:tc>
          <w:tcPr>
            <w:tcW w:w="0" w:type="dxa"/>
            <w:vAlign w:val="bottom"/>
          </w:tcPr>
          <w:p>
            <w:pPr>
              <w:spacing w:after="0"/>
              <w:rPr>
                <w:sz w:val="1"/>
                <w:szCs w:val="1"/>
                <w:color w:val="auto"/>
              </w:rPr>
            </w:pPr>
          </w:p>
        </w:tc>
      </w:tr>
      <w:tr>
        <w:trPr>
          <w:trHeight w:val="240"/>
        </w:trPr>
        <w:tc>
          <w:tcPr>
            <w:tcW w:w="5540" w:type="dxa"/>
            <w:vAlign w:val="bottom"/>
            <w:tcBorders>
              <w:top w:val="single" w:sz="8" w:color="E4E4E4"/>
              <w:bottom w:val="single" w:sz="8" w:color="E4E4E4"/>
            </w:tcBorders>
          </w:tcPr>
          <w:p>
            <w:pPr>
              <w:ind w:left="600"/>
              <w:spacing w:after="0" w:line="200" w:lineRule="exact"/>
              <w:rPr>
                <w:sz w:val="20"/>
                <w:szCs w:val="20"/>
                <w:color w:val="auto"/>
              </w:rPr>
            </w:pPr>
            <w:r>
              <w:rPr>
                <w:rFonts w:ascii="Times New Roman" w:cs="Times New Roman" w:eastAsia="Times New Roman" w:hAnsi="Times New Roman"/>
                <w:sz w:val="20"/>
                <w:szCs w:val="20"/>
                <w:color w:val="1E1E1E"/>
              </w:rPr>
              <w:t>Net loss attributable to Definitive Healthcare Corp.</w:t>
            </w:r>
          </w:p>
        </w:tc>
        <w:tc>
          <w:tcPr>
            <w:tcW w:w="140" w:type="dxa"/>
            <w:vAlign w:val="bottom"/>
            <w:tcBorders>
              <w:top w:val="single" w:sz="8" w:color="E4E4E4"/>
              <w:bottom w:val="single" w:sz="8" w:color="E4E4E4"/>
            </w:tcBorders>
          </w:tcPr>
          <w:p>
            <w:pPr>
              <w:spacing w:after="0"/>
              <w:rPr>
                <w:sz w:val="20"/>
                <w:szCs w:val="20"/>
                <w:color w:val="auto"/>
              </w:rPr>
            </w:pPr>
          </w:p>
        </w:tc>
        <w:tc>
          <w:tcPr>
            <w:tcW w:w="220" w:type="dxa"/>
            <w:vAlign w:val="bottom"/>
            <w:tcBorders>
              <w:top w:val="single" w:sz="8" w:color="1E1E1E"/>
              <w:bottom w:val="single" w:sz="8" w:color="1E1E1E"/>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20"/>
                <w:szCs w:val="20"/>
                <w:color w:val="1E1E1E"/>
              </w:rPr>
              <w:t>(202,388)</w:t>
            </w:r>
          </w:p>
        </w:tc>
        <w:tc>
          <w:tcPr>
            <w:tcW w:w="240" w:type="dxa"/>
            <w:vAlign w:val="bottom"/>
            <w:tcBorders>
              <w:top w:val="single" w:sz="8" w:color="E4E4E4"/>
              <w:bottom w:val="single" w:sz="8" w:color="E4E4E4"/>
            </w:tcBorders>
          </w:tcPr>
          <w:p>
            <w:pPr>
              <w:spacing w:after="0"/>
              <w:rPr>
                <w:sz w:val="20"/>
                <w:szCs w:val="20"/>
                <w:color w:val="auto"/>
              </w:rPr>
            </w:pPr>
          </w:p>
        </w:tc>
        <w:tc>
          <w:tcPr>
            <w:tcW w:w="220" w:type="dxa"/>
            <w:vAlign w:val="bottom"/>
            <w:tcBorders>
              <w:top w:val="single" w:sz="8" w:color="1E1E1E"/>
              <w:bottom w:val="single" w:sz="8" w:color="1E1E1E"/>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20"/>
                <w:szCs w:val="20"/>
                <w:color w:val="1E1E1E"/>
              </w:rPr>
              <w:t>(7,222)</w:t>
            </w:r>
          </w:p>
        </w:tc>
        <w:tc>
          <w:tcPr>
            <w:tcW w:w="240" w:type="dxa"/>
            <w:vAlign w:val="bottom"/>
            <w:tcBorders>
              <w:top w:val="single" w:sz="8" w:color="E4E4E4"/>
              <w:bottom w:val="single" w:sz="8" w:color="E4E4E4"/>
            </w:tcBorders>
          </w:tcPr>
          <w:p>
            <w:pPr>
              <w:spacing w:after="0"/>
              <w:rPr>
                <w:sz w:val="20"/>
                <w:szCs w:val="20"/>
                <w:color w:val="auto"/>
              </w:rPr>
            </w:pPr>
          </w:p>
        </w:tc>
        <w:tc>
          <w:tcPr>
            <w:tcW w:w="260" w:type="dxa"/>
            <w:vAlign w:val="bottom"/>
            <w:tcBorders>
              <w:top w:val="single" w:sz="8" w:color="1E1E1E"/>
              <w:bottom w:val="single" w:sz="8" w:color="1E1E1E"/>
            </w:tcBorders>
          </w:tcPr>
          <w:p>
            <w:pPr>
              <w:jc w:val="right"/>
              <w:ind w:right="60"/>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tcPr>
          <w:p>
            <w:pPr>
              <w:jc w:val="right"/>
              <w:spacing w:after="0" w:line="200" w:lineRule="exact"/>
              <w:rPr>
                <w:sz w:val="20"/>
                <w:szCs w:val="20"/>
                <w:color w:val="auto"/>
              </w:rPr>
            </w:pPr>
            <w:r>
              <w:rPr>
                <w:rFonts w:ascii="Times New Roman" w:cs="Times New Roman" w:eastAsia="Times New Roman" w:hAnsi="Times New Roman"/>
                <w:sz w:val="20"/>
                <w:szCs w:val="20"/>
                <w:color w:val="1E1E1E"/>
              </w:rPr>
              <w:t>(17,840)</w:t>
            </w:r>
          </w:p>
        </w:tc>
        <w:tc>
          <w:tcPr>
            <w:tcW w:w="100" w:type="dxa"/>
            <w:vAlign w:val="bottom"/>
            <w:tcBorders>
              <w:top w:val="single" w:sz="8" w:color="E4E4E4"/>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E4E4E4"/>
          </w:tcPr>
          <w:p>
            <w:pPr>
              <w:spacing w:after="0" w:line="215" w:lineRule="exact"/>
              <w:rPr>
                <w:sz w:val="20"/>
                <w:szCs w:val="20"/>
                <w:color w:val="auto"/>
              </w:rPr>
            </w:pPr>
            <w:r>
              <w:rPr>
                <w:rFonts w:ascii="Times New Roman" w:cs="Times New Roman" w:eastAsia="Times New Roman" w:hAnsi="Times New Roman"/>
                <w:sz w:val="20"/>
                <w:szCs w:val="20"/>
                <w:color w:val="1E1E1E"/>
              </w:rPr>
              <w:t>Net loss per share of Class A Common Stock:</w:t>
            </w:r>
          </w:p>
        </w:tc>
        <w:tc>
          <w:tcPr>
            <w:tcW w:w="1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4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20"/>
                <w:szCs w:val="20"/>
                <w:color w:val="1E1E1E"/>
              </w:rPr>
              <w:t>Basic and diluted</w:t>
            </w:r>
          </w:p>
        </w:tc>
        <w:tc>
          <w:tcPr>
            <w:tcW w:w="140" w:type="dxa"/>
            <w:vAlign w:val="bottom"/>
            <w:tcBorders>
              <w:bottom w:val="single" w:sz="8" w:color="E4E4E4"/>
            </w:tcBorders>
          </w:tcPr>
          <w:p>
            <w:pPr>
              <w:spacing w:after="0"/>
              <w:rPr>
                <w:sz w:val="23"/>
                <w:szCs w:val="23"/>
                <w:color w:val="auto"/>
              </w:rPr>
            </w:pPr>
          </w:p>
        </w:tc>
        <w:tc>
          <w:tcPr>
            <w:tcW w:w="22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(1.79)</w:t>
            </w:r>
          </w:p>
        </w:tc>
        <w:tc>
          <w:tcPr>
            <w:tcW w:w="240" w:type="dxa"/>
            <w:vAlign w:val="bottom"/>
            <w:tcBorders>
              <w:bottom w:val="single" w:sz="8" w:color="E4E4E4"/>
            </w:tcBorders>
          </w:tcPr>
          <w:p>
            <w:pPr>
              <w:spacing w:after="0"/>
              <w:rPr>
                <w:sz w:val="23"/>
                <w:szCs w:val="23"/>
                <w:color w:val="auto"/>
              </w:rPr>
            </w:pPr>
          </w:p>
        </w:tc>
        <w:tc>
          <w:tcPr>
            <w:tcW w:w="22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(0.07)</w:t>
            </w:r>
          </w:p>
        </w:tc>
        <w:tc>
          <w:tcPr>
            <w:tcW w:w="240" w:type="dxa"/>
            <w:vAlign w:val="bottom"/>
            <w:tcBorders>
              <w:bottom w:val="single" w:sz="8" w:color="E4E4E4"/>
            </w:tcBorders>
          </w:tcPr>
          <w:p>
            <w:pPr>
              <w:spacing w:after="0"/>
              <w:rPr>
                <w:sz w:val="23"/>
                <w:szCs w:val="23"/>
                <w:color w:val="auto"/>
              </w:rPr>
            </w:pPr>
          </w:p>
        </w:tc>
        <w:tc>
          <w:tcPr>
            <w:tcW w:w="26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(0.19)</w:t>
            </w:r>
          </w:p>
        </w:tc>
        <w:tc>
          <w:tcPr>
            <w:tcW w:w="100" w:type="dxa"/>
            <w:vAlign w:val="bottom"/>
            <w:tcBorders>
              <w:bottom w:val="single" w:sz="8" w:color="E4E4E4"/>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E4E4E4"/>
          </w:tcPr>
          <w:p>
            <w:pPr>
              <w:spacing w:after="0" w:line="215" w:lineRule="exact"/>
              <w:rPr>
                <w:sz w:val="20"/>
                <w:szCs w:val="20"/>
                <w:color w:val="auto"/>
              </w:rPr>
            </w:pPr>
            <w:r>
              <w:rPr>
                <w:rFonts w:ascii="Times New Roman" w:cs="Times New Roman" w:eastAsia="Times New Roman" w:hAnsi="Times New Roman"/>
                <w:sz w:val="20"/>
                <w:szCs w:val="20"/>
                <w:color w:val="1E1E1E"/>
              </w:rPr>
              <w:t>Weighted average Common Stock outstanding:</w:t>
            </w:r>
          </w:p>
        </w:tc>
        <w:tc>
          <w:tcPr>
            <w:tcW w:w="1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 xml:space="preserve">Basic and diluted </w:t>
            </w:r>
            <w:r>
              <w:rPr>
                <w:rFonts w:ascii="Times New Roman" w:cs="Times New Roman" w:eastAsia="Times New Roman" w:hAnsi="Times New Roman"/>
                <w:sz w:val="13"/>
                <w:szCs w:val="13"/>
                <w:color w:val="1E1E1E"/>
              </w:rPr>
              <w:t>(1)</w:t>
            </w:r>
          </w:p>
        </w:tc>
        <w:tc>
          <w:tcPr>
            <w:tcW w:w="14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112,764,537</w:t>
            </w:r>
          </w:p>
        </w:tc>
        <w:tc>
          <w:tcPr>
            <w:tcW w:w="240" w:type="dxa"/>
            <w:vAlign w:val="bottom"/>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101,114,105</w:t>
            </w:r>
          </w:p>
        </w:tc>
        <w:tc>
          <w:tcPr>
            <w:tcW w:w="240" w:type="dxa"/>
            <w:vAlign w:val="bottom"/>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91,916,151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00" w:firstLine="498"/>
        <w:spacing w:after="0" w:line="259" w:lineRule="auto"/>
        <w:tabs>
          <w:tab w:leader="none" w:pos="717" w:val="left"/>
        </w:tabs>
        <w:numPr>
          <w:ilvl w:val="0"/>
          <w:numId w:val="36"/>
        </w:numPr>
        <w:rPr>
          <w:rFonts w:ascii="Times New Roman" w:cs="Times New Roman" w:eastAsia="Times New Roman" w:hAnsi="Times New Roman"/>
          <w:sz w:val="16"/>
          <w:szCs w:val="16"/>
          <w:color w:val="1E1E1E"/>
        </w:rPr>
      </w:pPr>
      <w:r>
        <w:rPr>
          <w:rFonts w:ascii="Times New Roman" w:cs="Times New Roman" w:eastAsia="Times New Roman" w:hAnsi="Times New Roman"/>
          <w:sz w:val="16"/>
          <w:szCs w:val="16"/>
          <w:color w:val="1E1E1E"/>
        </w:rPr>
        <w:t>Basic and diluted net loss per share of Class A Common Stock is applicable only for the years ended December 31, 2023 and 2022 and for the period from September 15, 2021 through December 31, 2021, which is the period following the IPO and related Reorganization Transactions. See Note 20 for the number of shares used in the computation of net loss per share of Class A Common Stock and the basis for the computation of net loss per share.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F-6</w:t>
      </w:r>
    </w:p>
    <w:p>
      <w:pPr>
        <w:sectPr>
          <w:pgSz w:w="11880" w:h="15480" w:orient="portrait"/>
          <w:cols w:equalWidth="0" w:num="1">
            <w:col w:w="10240"/>
          </w:cols>
          <w:pgMar w:left="820" w:top="803" w:right="820" w:bottom="0" w:gutter="0" w:footer="0" w:header="0"/>
          <w:type w:val="continuous"/>
        </w:sectPr>
      </w:pPr>
    </w:p>
    <w:bookmarkStart w:id="90" w:name="page91"/>
    <w:bookmarkEnd w:id="90"/>
    <w:p>
      <w:pPr>
        <w:jc w:val="center"/>
        <w:spacing w:after="0" w:line="261" w:lineRule="auto"/>
        <w:rPr>
          <w:sz w:val="20"/>
          <w:szCs w:val="20"/>
          <w:color w:val="auto"/>
        </w:rPr>
      </w:pPr>
      <w:r>
        <w:rPr>
          <w:rFonts w:ascii="Times New Roman" w:cs="Times New Roman" w:eastAsia="Times New Roman" w:hAnsi="Times New Roman"/>
          <w:sz w:val="20"/>
          <w:szCs w:val="20"/>
          <w:b w:val="1"/>
          <w:bCs w:val="1"/>
          <w:color w:val="1E1E1E"/>
        </w:rPr>
        <w:t xml:space="preserve">DEFINITIVE HEALTHCARE CORP. CONSOLIDATED STATEMENTS OF COMPREHENSIVE LOSS </w:t>
      </w:r>
      <w:r>
        <w:rPr>
          <w:rFonts w:ascii="Times New Roman" w:cs="Times New Roman" w:eastAsia="Times New Roman" w:hAnsi="Times New Roman"/>
          <w:sz w:val="20"/>
          <w:szCs w:val="20"/>
          <w:i w:val="1"/>
          <w:iCs w:val="1"/>
          <w:color w:val="1E1E1E"/>
        </w:rPr>
        <w:t>(amounts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3000" w:type="dxa"/>
            <w:vAlign w:val="bottom"/>
            <w:tcBorders>
              <w:bottom w:val="single" w:sz="8" w:color="1E1E1E"/>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00" w:type="dxa"/>
            <w:vAlign w:val="bottom"/>
            <w:tcBorders>
              <w:bottom w:val="single" w:sz="8" w:color="1E1E1E"/>
            </w:tcBorders>
          </w:tcPr>
          <w:p>
            <w:pPr>
              <w:spacing w:after="0"/>
              <w:rPr>
                <w:sz w:val="17"/>
                <w:szCs w:val="17"/>
                <w:color w:val="auto"/>
              </w:rPr>
            </w:pPr>
          </w:p>
        </w:tc>
        <w:tc>
          <w:tcPr>
            <w:tcW w:w="102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5560" w:type="dxa"/>
            <w:vAlign w:val="bottom"/>
            <w:tcBorders>
              <w:bottom w:val="single" w:sz="8" w:color="E4E4E4"/>
            </w:tcBorders>
          </w:tcPr>
          <w:p>
            <w:pPr>
              <w:spacing w:after="0"/>
              <w:rPr>
                <w:sz w:val="15"/>
                <w:szCs w:val="15"/>
                <w:color w:val="auto"/>
              </w:rPr>
            </w:pPr>
          </w:p>
        </w:tc>
        <w:tc>
          <w:tcPr>
            <w:tcW w:w="140" w:type="dxa"/>
            <w:vAlign w:val="bottom"/>
            <w:tcBorders>
              <w:bottom w:val="single" w:sz="8" w:color="E4E4E4"/>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1200" w:type="dxa"/>
            <w:vAlign w:val="bottom"/>
            <w:tcBorders>
              <w:bottom w:val="single" w:sz="8" w:color="1E1E1E"/>
            </w:tcBorders>
          </w:tcPr>
          <w:p>
            <w:pPr>
              <w:jc w:val="right"/>
              <w:ind w:right="404"/>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5"/>
                <w:szCs w:val="15"/>
                <w:color w:val="auto"/>
              </w:rPr>
            </w:pPr>
          </w:p>
        </w:tc>
        <w:tc>
          <w:tcPr>
            <w:tcW w:w="300" w:type="dxa"/>
            <w:vAlign w:val="bottom"/>
            <w:tcBorders>
              <w:bottom w:val="single" w:sz="8" w:color="1E1E1E"/>
            </w:tcBorders>
          </w:tcPr>
          <w:p>
            <w:pPr>
              <w:spacing w:after="0"/>
              <w:rPr>
                <w:sz w:val="15"/>
                <w:szCs w:val="15"/>
                <w:color w:val="auto"/>
              </w:rPr>
            </w:pPr>
          </w:p>
        </w:tc>
        <w:tc>
          <w:tcPr>
            <w:tcW w:w="1020" w:type="dxa"/>
            <w:vAlign w:val="bottom"/>
            <w:tcBorders>
              <w:bottom w:val="single" w:sz="8" w:color="1E1E1E"/>
            </w:tcBorders>
          </w:tcPr>
          <w:p>
            <w:pPr>
              <w:jc w:val="right"/>
              <w:ind w:right="402"/>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40" w:type="dxa"/>
            <w:vAlign w:val="bottom"/>
            <w:tcBorders>
              <w:bottom w:val="single" w:sz="8" w:color="E4E4E4"/>
            </w:tcBorders>
          </w:tcPr>
          <w:p>
            <w:pPr>
              <w:spacing w:after="0"/>
              <w:rPr>
                <w:sz w:val="15"/>
                <w:szCs w:val="15"/>
                <w:color w:val="auto"/>
              </w:rPr>
            </w:pPr>
          </w:p>
        </w:tc>
        <w:tc>
          <w:tcPr>
            <w:tcW w:w="300" w:type="dxa"/>
            <w:vAlign w:val="bottom"/>
            <w:tcBorders>
              <w:bottom w:val="single" w:sz="8" w:color="1E1E1E"/>
            </w:tcBorders>
          </w:tcPr>
          <w:p>
            <w:pPr>
              <w:spacing w:after="0"/>
              <w:rPr>
                <w:sz w:val="15"/>
                <w:szCs w:val="15"/>
                <w:color w:val="auto"/>
              </w:rPr>
            </w:pPr>
          </w:p>
        </w:tc>
        <w:tc>
          <w:tcPr>
            <w:tcW w:w="1020" w:type="dxa"/>
            <w:vAlign w:val="bottom"/>
            <w:tcBorders>
              <w:bottom w:val="single" w:sz="8" w:color="1E1E1E"/>
            </w:tcBorders>
          </w:tcPr>
          <w:p>
            <w:pPr>
              <w:jc w:val="right"/>
              <w:ind w:right="402"/>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5"/>
                <w:szCs w:val="15"/>
                <w:color w:val="auto"/>
              </w:rPr>
            </w:pPr>
          </w:p>
        </w:tc>
      </w:tr>
      <w:tr>
        <w:trPr>
          <w:trHeight w:val="220"/>
        </w:trPr>
        <w:tc>
          <w:tcPr>
            <w:tcW w:w="55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Net loss</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2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(289,627)</w:t>
            </w: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(24,179)</w:t>
            </w: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(62,324)</w:t>
            </w:r>
          </w:p>
        </w:tc>
        <w:tc>
          <w:tcPr>
            <w:tcW w:w="100" w:type="dxa"/>
            <w:vAlign w:val="bottom"/>
            <w:shd w:val="clear" w:color="auto" w:fill="E4E4E4"/>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20"/>
                <w:szCs w:val="20"/>
                <w:color w:val="1E1E1E"/>
              </w:rPr>
              <w:t>Other comprehensive income (loss):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Foreign currency translation adjustments</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171</w:t>
            </w: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(832)</w:t>
            </w:r>
          </w:p>
        </w:tc>
        <w:tc>
          <w:tcPr>
            <w:tcW w:w="300" w:type="dxa"/>
            <w:vAlign w:val="bottom"/>
            <w:shd w:val="clear" w:color="auto" w:fill="E4E4E4"/>
          </w:tcPr>
          <w:p>
            <w:pPr>
              <w:spacing w:after="0"/>
              <w:rPr>
                <w:sz w:val="19"/>
                <w:szCs w:val="19"/>
                <w:color w:val="auto"/>
              </w:rPr>
            </w:pP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193</w:t>
            </w:r>
          </w:p>
        </w:tc>
        <w:tc>
          <w:tcPr>
            <w:tcW w:w="100" w:type="dxa"/>
            <w:vAlign w:val="bottom"/>
            <w:shd w:val="clear" w:color="auto" w:fill="E4E4E4"/>
          </w:tcPr>
          <w:p>
            <w:pPr>
              <w:spacing w:after="0"/>
              <w:rPr>
                <w:sz w:val="19"/>
                <w:szCs w:val="19"/>
                <w:color w:val="auto"/>
              </w:rPr>
            </w:pP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Unrealized gain (loss) on available-for-sale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(224)</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5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Unrealized (loss) gain on interest rate hedging instruments</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4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(2,617)</w:t>
            </w:r>
          </w:p>
        </w:tc>
        <w:tc>
          <w:tcPr>
            <w:tcW w:w="300" w:type="dxa"/>
            <w:vAlign w:val="bottom"/>
            <w:shd w:val="clear" w:color="auto" w:fill="E4E4E4"/>
          </w:tcPr>
          <w:p>
            <w:pPr>
              <w:spacing w:after="0"/>
              <w:rPr>
                <w:sz w:val="19"/>
                <w:szCs w:val="19"/>
                <w:color w:val="auto"/>
              </w:rPr>
            </w:pP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6,550</w:t>
            </w: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20"/>
        </w:trPr>
        <w:tc>
          <w:tcPr>
            <w:tcW w:w="55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1E1E1E"/>
              </w:rPr>
              <w:t>Comprehensive loss</w:t>
            </w:r>
          </w:p>
        </w:tc>
        <w:tc>
          <w:tcPr>
            <w:tcW w:w="140" w:type="dxa"/>
            <w:vAlign w:val="bottom"/>
          </w:tcPr>
          <w:p>
            <w:pPr>
              <w:spacing w:after="0"/>
              <w:rPr>
                <w:sz w:val="19"/>
                <w:szCs w:val="19"/>
                <w:color w:val="auto"/>
              </w:rPr>
            </w:pPr>
          </w:p>
        </w:tc>
        <w:tc>
          <w:tcPr>
            <w:tcW w:w="120" w:type="dxa"/>
            <w:vAlign w:val="bottom"/>
            <w:tcBorders>
              <w:top w:val="single" w:sz="8" w:color="1E1E1E"/>
            </w:tcBorders>
          </w:tcPr>
          <w:p>
            <w:pPr>
              <w:spacing w:after="0"/>
              <w:rPr>
                <w:sz w:val="19"/>
                <w:szCs w:val="19"/>
                <w:color w:val="auto"/>
              </w:rPr>
            </w:pPr>
          </w:p>
        </w:tc>
        <w:tc>
          <w:tcPr>
            <w:tcW w:w="12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(291,782)</w:t>
            </w:r>
          </w:p>
        </w:tc>
        <w:tc>
          <w:tcPr>
            <w:tcW w:w="240" w:type="dxa"/>
            <w:vAlign w:val="bottom"/>
          </w:tcPr>
          <w:p>
            <w:pPr>
              <w:spacing w:after="0"/>
              <w:rPr>
                <w:sz w:val="19"/>
                <w:szCs w:val="19"/>
                <w:color w:val="auto"/>
              </w:rPr>
            </w:pPr>
          </w:p>
        </w:tc>
        <w:tc>
          <w:tcPr>
            <w:tcW w:w="300" w:type="dxa"/>
            <w:vAlign w:val="bottom"/>
            <w:tcBorders>
              <w:top w:val="single" w:sz="8" w:color="1E1E1E"/>
            </w:tcBorders>
          </w:tcPr>
          <w:p>
            <w:pPr>
              <w:spacing w:after="0"/>
              <w:rPr>
                <w:sz w:val="19"/>
                <w:szCs w:val="19"/>
                <w:color w:val="auto"/>
              </w:rPr>
            </w:pPr>
          </w:p>
        </w:tc>
        <w:tc>
          <w:tcPr>
            <w:tcW w:w="102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(18,685)</w:t>
            </w:r>
          </w:p>
        </w:tc>
        <w:tc>
          <w:tcPr>
            <w:tcW w:w="240" w:type="dxa"/>
            <w:vAlign w:val="bottom"/>
          </w:tcPr>
          <w:p>
            <w:pPr>
              <w:spacing w:after="0"/>
              <w:rPr>
                <w:sz w:val="19"/>
                <w:szCs w:val="19"/>
                <w:color w:val="auto"/>
              </w:rPr>
            </w:pPr>
          </w:p>
        </w:tc>
        <w:tc>
          <w:tcPr>
            <w:tcW w:w="300" w:type="dxa"/>
            <w:vAlign w:val="bottom"/>
            <w:tcBorders>
              <w:top w:val="single" w:sz="8" w:color="1E1E1E"/>
            </w:tcBorders>
          </w:tcPr>
          <w:p>
            <w:pPr>
              <w:spacing w:after="0"/>
              <w:rPr>
                <w:sz w:val="19"/>
                <w:szCs w:val="19"/>
                <w:color w:val="auto"/>
              </w:rPr>
            </w:pPr>
          </w:p>
        </w:tc>
        <w:tc>
          <w:tcPr>
            <w:tcW w:w="102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(62,131)</w:t>
            </w:r>
          </w:p>
        </w:tc>
        <w:tc>
          <w:tcPr>
            <w:tcW w:w="100" w:type="dxa"/>
            <w:vAlign w:val="bottom"/>
          </w:tcPr>
          <w:p>
            <w:pPr>
              <w:spacing w:after="0"/>
              <w:rPr>
                <w:sz w:val="19"/>
                <w:szCs w:val="19"/>
                <w:color w:val="auto"/>
              </w:rPr>
            </w:pPr>
          </w:p>
        </w:tc>
      </w:tr>
      <w:tr>
        <w:trPr>
          <w:trHeight w:val="209"/>
        </w:trPr>
        <w:tc>
          <w:tcPr>
            <w:tcW w:w="5560" w:type="dxa"/>
            <w:vAlign w:val="bottom"/>
            <w:shd w:val="clear" w:color="auto" w:fill="E4E4E4"/>
          </w:tcPr>
          <w:p>
            <w:pPr>
              <w:ind w:left="200"/>
              <w:spacing w:after="0" w:line="208" w:lineRule="exact"/>
              <w:rPr>
                <w:sz w:val="20"/>
                <w:szCs w:val="20"/>
                <w:color w:val="auto"/>
              </w:rPr>
            </w:pPr>
            <w:r>
              <w:rPr>
                <w:rFonts w:ascii="Times New Roman" w:cs="Times New Roman" w:eastAsia="Times New Roman" w:hAnsi="Times New Roman"/>
                <w:sz w:val="20"/>
                <w:szCs w:val="20"/>
                <w:color w:val="1E1E1E"/>
              </w:rPr>
              <w:t>Less: Comprehensive loss attributable to Definitive OpCo prior to</w:t>
            </w:r>
          </w:p>
        </w:tc>
        <w:tc>
          <w:tcPr>
            <w:tcW w:w="1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r>
      <w:tr>
        <w:trPr>
          <w:trHeight w:val="251"/>
        </w:trPr>
        <w:tc>
          <w:tcPr>
            <w:tcW w:w="55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the Reorganization Transactions</w:t>
            </w:r>
          </w:p>
        </w:tc>
        <w:tc>
          <w:tcPr>
            <w:tcW w:w="14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44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4E4E4"/>
          </w:tcPr>
          <w:p>
            <w:pPr>
              <w:spacing w:after="0"/>
              <w:rPr>
                <w:sz w:val="21"/>
                <w:szCs w:val="21"/>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4E4E4"/>
          </w:tcPr>
          <w:p>
            <w:pPr>
              <w:spacing w:after="0"/>
              <w:rPr>
                <w:sz w:val="21"/>
                <w:szCs w:val="21"/>
                <w:color w:val="auto"/>
              </w:rPr>
            </w:pPr>
          </w:p>
        </w:tc>
        <w:tc>
          <w:tcPr>
            <w:tcW w:w="112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(33,926)</w:t>
            </w:r>
          </w:p>
        </w:tc>
      </w:tr>
      <w:tr>
        <w:trPr>
          <w:trHeight w:val="230"/>
        </w:trPr>
        <w:tc>
          <w:tcPr>
            <w:tcW w:w="55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Less: Comprehensive loss attributable to noncontrolling interests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(87,835)</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(15,069)</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(10,416)</w:t>
            </w:r>
          </w:p>
        </w:tc>
      </w:tr>
      <w:tr>
        <w:trPr>
          <w:trHeight w:val="220"/>
        </w:trPr>
        <w:tc>
          <w:tcPr>
            <w:tcW w:w="5560" w:type="dxa"/>
            <w:vAlign w:val="bottom"/>
            <w:tcBorders>
              <w:top w:val="single" w:sz="8" w:color="E4E4E4"/>
            </w:tcBorders>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Comprehensive loss attributable to Definitive Healthcare Corp.</w:t>
            </w:r>
          </w:p>
        </w:tc>
        <w:tc>
          <w:tcPr>
            <w:tcW w:w="14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(203,947)</w:t>
            </w:r>
          </w:p>
        </w:tc>
        <w:tc>
          <w:tcPr>
            <w:tcW w:w="240" w:type="dxa"/>
            <w:vAlign w:val="bottom"/>
            <w:tcBorders>
              <w:top w:val="single" w:sz="8" w:color="E4E4E4"/>
            </w:tcBorders>
            <w:shd w:val="clear" w:color="auto" w:fill="E4E4E4"/>
          </w:tcPr>
          <w:p>
            <w:pPr>
              <w:spacing w:after="0"/>
              <w:rPr>
                <w:sz w:val="19"/>
                <w:szCs w:val="19"/>
                <w:color w:val="auto"/>
              </w:rPr>
            </w:pPr>
          </w:p>
        </w:tc>
        <w:tc>
          <w:tcPr>
            <w:tcW w:w="300" w:type="dxa"/>
            <w:vAlign w:val="bottom"/>
            <w:tcBorders>
              <w:top w:val="single" w:sz="8" w:color="1E1E1E"/>
              <w:bottom w:val="single" w:sz="8" w:color="1E1E1E"/>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(3,616)</w:t>
            </w:r>
          </w:p>
        </w:tc>
        <w:tc>
          <w:tcPr>
            <w:tcW w:w="240" w:type="dxa"/>
            <w:vAlign w:val="bottom"/>
            <w:tcBorders>
              <w:top w:val="single" w:sz="8" w:color="E4E4E4"/>
            </w:tcBorders>
            <w:shd w:val="clear" w:color="auto" w:fill="E4E4E4"/>
          </w:tcPr>
          <w:p>
            <w:pPr>
              <w:spacing w:after="0"/>
              <w:rPr>
                <w:sz w:val="19"/>
                <w:szCs w:val="19"/>
                <w:color w:val="auto"/>
              </w:rPr>
            </w:pPr>
          </w:p>
        </w:tc>
        <w:tc>
          <w:tcPr>
            <w:tcW w:w="300" w:type="dxa"/>
            <w:vAlign w:val="bottom"/>
            <w:tcBorders>
              <w:top w:val="single" w:sz="8" w:color="1E1E1E"/>
              <w:bottom w:val="single" w:sz="8" w:color="1E1E1E"/>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(17,789)</w:t>
            </w:r>
          </w:p>
        </w:tc>
        <w:tc>
          <w:tcPr>
            <w:tcW w:w="100" w:type="dxa"/>
            <w:vAlign w:val="bottom"/>
            <w:tcBorders>
              <w:top w:val="single" w:sz="8" w:color="E4E4E4"/>
            </w:tcBorders>
            <w:shd w:val="clear" w:color="auto" w:fill="E4E4E4"/>
          </w:tcPr>
          <w:p>
            <w:pPr>
              <w:spacing w:after="0"/>
              <w:rPr>
                <w:sz w:val="19"/>
                <w:szCs w:val="19"/>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-141605</wp:posOffset>
            </wp:positionV>
            <wp:extent cx="280860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08605" cy="9525"/>
                    </a:xfrm>
                    <a:prstGeom prst="rect">
                      <a:avLst/>
                    </a:prstGeom>
                    <a:noFill/>
                  </pic:spPr>
                </pic:pic>
              </a:graphicData>
            </a:graphic>
          </wp:anchor>
        </w:drawing>
      </w:r>
    </w:p>
    <w:p>
      <w:pPr>
        <w:sectPr>
          <w:pgSz w:w="11880" w:h="15480" w:orient="portrait"/>
          <w:cols w:equalWidth="0" w:num="1">
            <w:col w:w="10240"/>
          </w:cols>
          <w:pgMar w:left="820" w:top="80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F-7</w:t>
      </w:r>
    </w:p>
    <w:p>
      <w:pPr>
        <w:sectPr>
          <w:pgSz w:w="11880" w:h="15480" w:orient="portrait"/>
          <w:cols w:equalWidth="0" w:num="1">
            <w:col w:w="10240"/>
          </w:cols>
          <w:pgMar w:left="820" w:top="803" w:right="820"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1E1E1E"/>
              </w:rPr>
              <w:t>F-8</w:t>
            </w:r>
          </w:p>
        </w:tc>
      </w:tr>
    </w:tbl>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DEFINITIVE HEALTHCARE CORP.</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CONSOLIDATED STATEMENTS OF CHANGES IN MEMBERS’ EQUITY AND TOTAL EQUITY</w:t>
      </w:r>
    </w:p>
    <w:p>
      <w:pPr>
        <w:jc w:val="center"/>
        <w:ind w:right="20"/>
        <w:spacing w:after="0" w:line="237" w:lineRule="auto"/>
        <w:rPr>
          <w:sz w:val="20"/>
          <w:szCs w:val="20"/>
          <w:color w:val="auto"/>
        </w:rPr>
      </w:pPr>
      <w:r>
        <w:rPr>
          <w:rFonts w:ascii="Times New Roman" w:cs="Times New Roman" w:eastAsia="Times New Roman" w:hAnsi="Times New Roman"/>
          <w:sz w:val="20"/>
          <w:szCs w:val="20"/>
          <w:i w:val="1"/>
          <w:iCs w:val="1"/>
          <w:color w:val="1E1E1E"/>
        </w:rPr>
        <w:t>(amounts in thousands, except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1E1E1E"/>
                <w:w w:val="98"/>
              </w:rPr>
              <w:t>Accumulated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1E1E1E"/>
                <w:w w:val="99"/>
              </w:rPr>
              <w:t>Additional</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1E1E1E"/>
                <w:w w:val="99"/>
              </w:rPr>
              <w:t>Other</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1E1E1E"/>
              </w:rPr>
              <w:t>Class A</w:t>
            </w:r>
          </w:p>
        </w:tc>
        <w:tc>
          <w:tcPr>
            <w:tcW w:w="14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1E1E1E"/>
              </w:rPr>
              <w:t>Class A</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1E1E1E"/>
              </w:rPr>
              <w:t>Class B</w:t>
            </w:r>
          </w:p>
        </w:tc>
        <w:tc>
          <w:tcPr>
            <w:tcW w:w="16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1E1E1E"/>
              </w:rPr>
              <w:t>Class B</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1E1E1E"/>
                <w:w w:val="99"/>
              </w:rPr>
              <w:t>Paid-In</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1E1E1E"/>
                <w:w w:val="98"/>
              </w:rPr>
              <w:t>Accumulated</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1E1E1E"/>
                <w:w w:val="97"/>
              </w:rPr>
              <w:t>Comprehensive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1E1E1E"/>
                <w:w w:val="99"/>
              </w:rPr>
              <w:t>Noncontrolling</w:t>
            </w:r>
          </w:p>
        </w:tc>
        <w:tc>
          <w:tcPr>
            <w:tcW w:w="22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1E1E1E"/>
              </w:rPr>
              <w:t>Total</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1E1E1E"/>
              </w:rPr>
              <w:t>Stock</w:t>
            </w:r>
          </w:p>
        </w:tc>
        <w:tc>
          <w:tcPr>
            <w:tcW w:w="14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1E1E1E"/>
              </w:rPr>
              <w:t>Amount</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1E1E1E"/>
              </w:rPr>
              <w:t>Stock</w:t>
            </w:r>
          </w:p>
        </w:tc>
        <w:tc>
          <w:tcPr>
            <w:tcW w:w="160" w:type="dxa"/>
            <w:vAlign w:val="bottom"/>
          </w:tcPr>
          <w:p>
            <w:pPr>
              <w:spacing w:after="0"/>
              <w:rPr>
                <w:sz w:val="15"/>
                <w:szCs w:val="15"/>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1E1E1E"/>
              </w:rPr>
              <w:t>Amount</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1E1E1E"/>
                <w:w w:val="96"/>
              </w:rPr>
              <w:t>Capital</w:t>
            </w:r>
          </w:p>
        </w:tc>
        <w:tc>
          <w:tcPr>
            <w:tcW w:w="18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1E1E1E"/>
              </w:rPr>
              <w:t>Deficit</w:t>
            </w:r>
          </w:p>
        </w:tc>
        <w:tc>
          <w:tcPr>
            <w:tcW w:w="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1E1E1E"/>
                <w:w w:val="96"/>
              </w:rPr>
              <w:t>Income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1E1E1E"/>
              </w:rPr>
              <w:t>Interests</w:t>
            </w:r>
          </w:p>
        </w:tc>
        <w:tc>
          <w:tcPr>
            <w:tcW w:w="22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1E1E1E"/>
              </w:rPr>
              <w:t>Equity</w:t>
            </w:r>
          </w:p>
        </w:tc>
        <w:tc>
          <w:tcPr>
            <w:tcW w:w="0" w:type="dxa"/>
            <w:vAlign w:val="bottom"/>
          </w:tcPr>
          <w:p>
            <w:pPr>
              <w:spacing w:after="0"/>
              <w:rPr>
                <w:sz w:val="1"/>
                <w:szCs w:val="1"/>
                <w:color w:val="auto"/>
              </w:rPr>
            </w:pPr>
          </w:p>
        </w:tc>
      </w:tr>
      <w:tr>
        <w:trPr>
          <w:trHeight w:val="32"/>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color w:val="1E1E1E"/>
              </w:rPr>
              <w:t>Balance at December 31, 2021</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97,030,095</w:t>
            </w:r>
          </w:p>
        </w:tc>
        <w:tc>
          <w:tcPr>
            <w:tcW w:w="14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97</w:t>
            </w:r>
          </w:p>
        </w:tc>
        <w:tc>
          <w:tcPr>
            <w:tcW w:w="160" w:type="dxa"/>
            <w:vAlign w:val="bottom"/>
          </w:tcPr>
          <w:p>
            <w:pPr>
              <w:spacing w:after="0"/>
              <w:rPr>
                <w:sz w:val="2"/>
                <w:szCs w:val="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58,244,627</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1E1E1E"/>
                <w:w w:val="71"/>
              </w:rPr>
              <w:t>$</w:t>
            </w:r>
          </w:p>
        </w:tc>
        <w:tc>
          <w:tcPr>
            <w:tcW w:w="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1E1E1E"/>
                <w:w w:val="87"/>
              </w:rPr>
              <w:t>—</w:t>
            </w:r>
          </w:p>
        </w:tc>
        <w:tc>
          <w:tcPr>
            <w:tcW w:w="14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888,992</w:t>
            </w:r>
          </w:p>
        </w:tc>
        <w:tc>
          <w:tcPr>
            <w:tcW w:w="140" w:type="dxa"/>
            <w:vAlign w:val="bottom"/>
          </w:tcPr>
          <w:p>
            <w:pPr>
              <w:spacing w:after="0"/>
              <w:rPr>
                <w:sz w:val="2"/>
                <w:szCs w:val="2"/>
                <w:color w:val="auto"/>
              </w:rPr>
            </w:pPr>
          </w:p>
        </w:tc>
        <w:tc>
          <w:tcPr>
            <w:tcW w:w="1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1E1E1E"/>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(17,840)</w:t>
            </w:r>
          </w:p>
        </w:tc>
        <w:tc>
          <w:tcPr>
            <w:tcW w:w="140" w:type="dxa"/>
            <w:vAlign w:val="bottom"/>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62</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628,525</w:t>
            </w:r>
          </w:p>
        </w:tc>
        <w:tc>
          <w:tcPr>
            <w:tcW w:w="140" w:type="dxa"/>
            <w:vAlign w:val="bottom"/>
          </w:tcPr>
          <w:p>
            <w:pPr>
              <w:spacing w:after="0"/>
              <w:rPr>
                <w:sz w:val="2"/>
                <w:szCs w:val="2"/>
                <w:color w:val="auto"/>
              </w:rPr>
            </w:pPr>
          </w:p>
        </w:tc>
        <w:tc>
          <w:tcPr>
            <w:tcW w:w="2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1E1E1E"/>
                <w:w w:val="74"/>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1,499,836</w:t>
            </w: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Borders>
              <w:bottom w:val="single" w:sz="8" w:color="E4E4E4"/>
            </w:tcBorders>
            <w:shd w:val="clear" w:color="auto" w:fill="E4E4E4"/>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Borders>
              <w:bottom w:val="single" w:sz="8" w:color="E4E4E4"/>
              <w:right w:val="single" w:sz="8" w:color="E4E4E4"/>
            </w:tcBorders>
            <w:shd w:val="clear" w:color="auto" w:fill="E4E4E4"/>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Borders>
              <w:bottom w:val="single" w:sz="8" w:color="E4E4E4"/>
            </w:tcBorders>
            <w:shd w:val="clear" w:color="auto" w:fill="E4E4E4"/>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Borders>
              <w:bottom w:val="single" w:sz="8" w:color="E4E4E4"/>
            </w:tcBorders>
            <w:shd w:val="clear" w:color="auto" w:fill="E4E4E4"/>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Borders>
              <w:bottom w:val="single" w:sz="8" w:color="E4E4E4"/>
            </w:tcBorders>
            <w:shd w:val="clear" w:color="auto" w:fill="E4E4E4"/>
          </w:tcPr>
          <w:p>
            <w:pPr>
              <w:spacing w:after="0"/>
              <w:rPr>
                <w:sz w:val="14"/>
                <w:szCs w:val="14"/>
                <w:color w:val="auto"/>
              </w:rPr>
            </w:pPr>
          </w:p>
        </w:tc>
        <w:tc>
          <w:tcPr>
            <w:tcW w:w="60" w:type="dxa"/>
            <w:vAlign w:val="bottom"/>
            <w:tcBorders>
              <w:bottom w:val="single" w:sz="8" w:color="E4E4E4"/>
              <w:right w:val="single" w:sz="8" w:color="E4E4E4"/>
            </w:tcBorders>
            <w:shd w:val="clear" w:color="auto" w:fill="E4E4E4"/>
          </w:tcPr>
          <w:p>
            <w:pPr>
              <w:spacing w:after="0"/>
              <w:rPr>
                <w:sz w:val="14"/>
                <w:szCs w:val="14"/>
                <w:color w:val="auto"/>
              </w:rPr>
            </w:pPr>
          </w:p>
        </w:tc>
        <w:tc>
          <w:tcPr>
            <w:tcW w:w="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Borders>
              <w:bottom w:val="single" w:sz="8" w:color="E4E4E4"/>
            </w:tcBorders>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Net loss</w:t>
            </w:r>
          </w:p>
        </w:tc>
        <w:tc>
          <w:tcPr>
            <w:tcW w:w="12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Pr>
          <w:p>
            <w:pPr>
              <w:spacing w:after="0"/>
              <w:rPr>
                <w:sz w:val="12"/>
                <w:szCs w:val="12"/>
                <w:color w:val="auto"/>
              </w:rPr>
            </w:pP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720"/>
              <w:spacing w:after="0" w:line="148" w:lineRule="exact"/>
              <w:rPr>
                <w:sz w:val="20"/>
                <w:szCs w:val="20"/>
                <w:color w:val="auto"/>
              </w:rPr>
            </w:pPr>
            <w:r>
              <w:rPr>
                <w:rFonts w:ascii="Times New Roman" w:cs="Times New Roman" w:eastAsia="Times New Roman" w:hAnsi="Times New Roman"/>
                <w:sz w:val="16"/>
                <w:szCs w:val="16"/>
                <w:color w:val="1E1E1E"/>
                <w:w w:val="87"/>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(7,222)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(16,957)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(24,179)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Other comprehensive income</w:t>
            </w:r>
          </w:p>
        </w:tc>
        <w:tc>
          <w:tcPr>
            <w:tcW w:w="13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2"/>
                <w:szCs w:val="2"/>
                <w:color w:val="auto"/>
              </w:rPr>
            </w:pPr>
          </w:p>
        </w:tc>
        <w:tc>
          <w:tcPr>
            <w:tcW w:w="98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3,606</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1,888</w:t>
            </w: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restart"/>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5,494</w:t>
            </w:r>
          </w:p>
        </w:tc>
        <w:tc>
          <w:tcPr>
            <w:tcW w:w="0" w:type="dxa"/>
            <w:vAlign w:val="bottom"/>
          </w:tcPr>
          <w:p>
            <w:pPr>
              <w:spacing w:after="0" w:line="20" w:lineRule="exact"/>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E4E4E4"/>
              <w:right w:val="single" w:sz="8" w:color="E4E4E4"/>
            </w:tcBorders>
            <w:gridSpan w:val="2"/>
            <w:shd w:val="clear" w:color="auto" w:fill="E4E4E4"/>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160" w:type="dxa"/>
            <w:vAlign w:val="bottom"/>
            <w:tcBorders>
              <w:bottom w:val="single" w:sz="8" w:color="E4E4E4"/>
            </w:tcBorders>
            <w:shd w:val="clear" w:color="auto" w:fill="E4E4E4"/>
          </w:tcPr>
          <w:p>
            <w:pPr>
              <w:spacing w:after="0"/>
              <w:rPr>
                <w:sz w:val="14"/>
                <w:szCs w:val="14"/>
                <w:color w:val="auto"/>
              </w:rPr>
            </w:pPr>
          </w:p>
        </w:tc>
        <w:tc>
          <w:tcPr>
            <w:tcW w:w="1020" w:type="dxa"/>
            <w:vAlign w:val="bottom"/>
            <w:tcBorders>
              <w:bottom w:val="single" w:sz="8" w:color="E4E4E4"/>
            </w:tcBorders>
            <w:gridSpan w:val="2"/>
            <w:shd w:val="clear" w:color="auto" w:fill="E4E4E4"/>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Vested incentive units</w:t>
            </w:r>
          </w:p>
        </w:tc>
        <w:tc>
          <w:tcPr>
            <w:tcW w:w="13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(7,955)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7,955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Issuance of Class A Common Stock upon</w:t>
            </w: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shd w:val="clear" w:color="auto" w:fill="E4E4E4"/>
          </w:tcPr>
          <w:p>
            <w:pPr>
              <w:spacing w:after="0"/>
              <w:rPr>
                <w:sz w:val="12"/>
                <w:szCs w:val="12"/>
                <w:color w:val="auto"/>
              </w:rPr>
            </w:pPr>
          </w:p>
        </w:tc>
        <w:tc>
          <w:tcPr>
            <w:tcW w:w="160" w:type="dxa"/>
            <w:vAlign w:val="bottom"/>
            <w:tcBorders>
              <w:right w:val="single" w:sz="8" w:color="E4E4E4"/>
            </w:tcBorders>
            <w:shd w:val="clear" w:color="auto" w:fill="E4E4E4"/>
          </w:tcPr>
          <w:p>
            <w:pPr>
              <w:spacing w:after="0"/>
              <w:rPr>
                <w:sz w:val="12"/>
                <w:szCs w:val="12"/>
                <w:color w:val="auto"/>
              </w:rPr>
            </w:pPr>
          </w:p>
        </w:tc>
        <w:tc>
          <w:tcPr>
            <w:tcW w:w="1180" w:type="dxa"/>
            <w:vAlign w:val="bottom"/>
            <w:shd w:val="clear" w:color="auto" w:fill="E4E4E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E4E4E4"/>
            </w:tcBorders>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88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vesting of RSUs</w:t>
            </w:r>
          </w:p>
        </w:tc>
        <w:tc>
          <w:tcPr>
            <w:tcW w:w="13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716,776</w:t>
            </w:r>
          </w:p>
        </w:tc>
        <w:tc>
          <w:tcPr>
            <w:tcW w:w="140" w:type="dxa"/>
            <w:vAlign w:val="bottom"/>
          </w:tcPr>
          <w:p>
            <w:pPr>
              <w:spacing w:after="0"/>
              <w:rPr>
                <w:sz w:val="17"/>
                <w:szCs w:val="17"/>
                <w:color w:val="auto"/>
              </w:rPr>
            </w:pPr>
          </w:p>
        </w:tc>
        <w:tc>
          <w:tcPr>
            <w:tcW w:w="1040" w:type="dxa"/>
            <w:vAlign w:val="bottom"/>
            <w:tcBorders>
              <w:bottom w:val="single" w:sz="8" w:color="E4E4E4"/>
              <w:right w:val="single" w:sz="8" w:color="E4E4E4"/>
            </w:tcBorders>
            <w:gridSpan w:val="2"/>
            <w:shd w:val="clear" w:color="auto" w:fill="E4E4E4"/>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shd w:val="clear" w:color="auto" w:fill="E4E4E4"/>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140" w:type="dxa"/>
            <w:vAlign w:val="bottom"/>
            <w:tcBorders>
              <w:bottom w:val="single" w:sz="8" w:color="E4E4E4"/>
              <w:right w:val="single" w:sz="8" w:color="E4E4E4"/>
            </w:tcBorders>
            <w:shd w:val="clear" w:color="auto" w:fill="E4E4E4"/>
          </w:tcPr>
          <w:p>
            <w:pPr>
              <w:spacing w:after="0"/>
              <w:rPr>
                <w:sz w:val="17"/>
                <w:szCs w:val="17"/>
                <w:color w:val="auto"/>
              </w:rPr>
            </w:pPr>
          </w:p>
        </w:tc>
        <w:tc>
          <w:tcPr>
            <w:tcW w:w="160" w:type="dxa"/>
            <w:vAlign w:val="bottom"/>
            <w:tcBorders>
              <w:bottom w:val="single" w:sz="8" w:color="E4E4E4"/>
            </w:tcBorders>
            <w:shd w:val="clear" w:color="auto" w:fill="E4E4E4"/>
          </w:tcPr>
          <w:p>
            <w:pPr>
              <w:spacing w:after="0"/>
              <w:rPr>
                <w:sz w:val="17"/>
                <w:szCs w:val="17"/>
                <w:color w:val="auto"/>
              </w:rPr>
            </w:pPr>
          </w:p>
        </w:tc>
        <w:tc>
          <w:tcPr>
            <w:tcW w:w="1020" w:type="dxa"/>
            <w:vAlign w:val="bottom"/>
            <w:tcBorders>
              <w:bottom w:val="single" w:sz="8" w:color="E4E4E4"/>
            </w:tcBorders>
            <w:gridSpan w:val="2"/>
            <w:shd w:val="clear" w:color="auto" w:fill="E4E4E4"/>
          </w:tcPr>
          <w:p>
            <w:pPr>
              <w:ind w:left="7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1E1E1E"/>
              </w:rPr>
              <w:t>1,717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(1,717)</w:t>
            </w:r>
          </w:p>
        </w:tc>
        <w:tc>
          <w:tcPr>
            <w:tcW w:w="220" w:type="dxa"/>
            <w:vAlign w:val="bottom"/>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Borders>
              <w:bottom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Shares withheld related to net share settlement</w:t>
            </w:r>
          </w:p>
        </w:tc>
        <w:tc>
          <w:tcPr>
            <w:tcW w:w="134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6"/>
                <w:szCs w:val="16"/>
                <w:color w:val="1E1E1E"/>
              </w:rPr>
              <w:t>(233,252)</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(4,116)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2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(4,116)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Effect of LLC unit exchanges</w:t>
            </w:r>
          </w:p>
        </w:tc>
        <w:tc>
          <w:tcPr>
            <w:tcW w:w="13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7,624,654</w:t>
            </w:r>
          </w:p>
        </w:tc>
        <w:tc>
          <w:tcPr>
            <w:tcW w:w="140" w:type="dxa"/>
            <w:vAlign w:val="bottom"/>
          </w:tcPr>
          <w:p>
            <w:pPr>
              <w:spacing w:after="0"/>
              <w:rPr>
                <w:sz w:val="2"/>
                <w:szCs w:val="2"/>
                <w:color w:val="auto"/>
              </w:rPr>
            </w:pPr>
          </w:p>
        </w:tc>
        <w:tc>
          <w:tcPr>
            <w:tcW w:w="1040" w:type="dxa"/>
            <w:vAlign w:val="bottom"/>
            <w:gridSpan w:val="2"/>
            <w:vMerge w:val="restart"/>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8</w:t>
            </w:r>
          </w:p>
        </w:tc>
        <w:tc>
          <w:tcPr>
            <w:tcW w:w="118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(7,624,654)</w:t>
            </w: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63,343</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2"/>
                <w:szCs w:val="2"/>
                <w:color w:val="auto"/>
              </w:rPr>
            </w:pPr>
          </w:p>
        </w:tc>
        <w:tc>
          <w:tcPr>
            <w:tcW w:w="1080" w:type="dxa"/>
            <w:vAlign w:val="bottom"/>
            <w:gridSpan w:val="2"/>
            <w:vMerge w:val="restart"/>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(82,004)</w:t>
            </w:r>
          </w:p>
        </w:tc>
        <w:tc>
          <w:tcPr>
            <w:tcW w:w="220" w:type="dxa"/>
            <w:vAlign w:val="bottom"/>
          </w:tcPr>
          <w:p>
            <w:pPr>
              <w:spacing w:after="0"/>
              <w:rPr>
                <w:sz w:val="2"/>
                <w:szCs w:val="2"/>
                <w:color w:val="auto"/>
              </w:rPr>
            </w:pPr>
          </w:p>
        </w:tc>
        <w:tc>
          <w:tcPr>
            <w:tcW w:w="1080" w:type="dxa"/>
            <w:vAlign w:val="bottom"/>
            <w:gridSpan w:val="2"/>
            <w:vMerge w:val="restart"/>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(18,653)</w:t>
            </w:r>
          </w:p>
        </w:tc>
        <w:tc>
          <w:tcPr>
            <w:tcW w:w="0" w:type="dxa"/>
            <w:vAlign w:val="bottom"/>
          </w:tcPr>
          <w:p>
            <w:pPr>
              <w:spacing w:after="0" w:line="20" w:lineRule="exact"/>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160" w:type="dxa"/>
            <w:vAlign w:val="bottom"/>
            <w:tcBorders>
              <w:bottom w:val="single" w:sz="8" w:color="E4E4E4"/>
            </w:tcBorders>
            <w:shd w:val="clear" w:color="auto" w:fill="E4E4E4"/>
          </w:tcPr>
          <w:p>
            <w:pPr>
              <w:spacing w:after="0"/>
              <w:rPr>
                <w:sz w:val="14"/>
                <w:szCs w:val="14"/>
                <w:color w:val="auto"/>
              </w:rPr>
            </w:pPr>
          </w:p>
        </w:tc>
        <w:tc>
          <w:tcPr>
            <w:tcW w:w="1020" w:type="dxa"/>
            <w:vAlign w:val="bottom"/>
            <w:tcBorders>
              <w:bottom w:val="single" w:sz="8" w:color="E4E4E4"/>
            </w:tcBorders>
            <w:gridSpan w:val="2"/>
            <w:shd w:val="clear" w:color="auto" w:fill="E4E4E4"/>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Forfeited unvested incentive units</w:t>
            </w:r>
          </w:p>
        </w:tc>
        <w:tc>
          <w:tcPr>
            <w:tcW w:w="13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(186,872)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Equity-based compensation</w:t>
            </w:r>
          </w:p>
        </w:tc>
        <w:tc>
          <w:tcPr>
            <w:tcW w:w="13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24,172</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2"/>
                <w:szCs w:val="2"/>
                <w:color w:val="auto"/>
              </w:rPr>
            </w:pPr>
          </w:p>
        </w:tc>
        <w:tc>
          <w:tcPr>
            <w:tcW w:w="1080" w:type="dxa"/>
            <w:vAlign w:val="bottom"/>
            <w:gridSpan w:val="2"/>
            <w:vMerge w:val="restart"/>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12,262</w:t>
            </w: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restart"/>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36,434</w:t>
            </w:r>
          </w:p>
        </w:tc>
        <w:tc>
          <w:tcPr>
            <w:tcW w:w="0" w:type="dxa"/>
            <w:vAlign w:val="bottom"/>
          </w:tcPr>
          <w:p>
            <w:pPr>
              <w:spacing w:after="0" w:line="20" w:lineRule="exact"/>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E4E4E4"/>
              <w:right w:val="single" w:sz="8" w:color="E4E4E4"/>
            </w:tcBorders>
            <w:gridSpan w:val="2"/>
            <w:shd w:val="clear" w:color="auto" w:fill="E4E4E4"/>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160" w:type="dxa"/>
            <w:vAlign w:val="bottom"/>
            <w:tcBorders>
              <w:bottom w:val="single" w:sz="8" w:color="E4E4E4"/>
            </w:tcBorders>
            <w:shd w:val="clear" w:color="auto" w:fill="E4E4E4"/>
          </w:tcPr>
          <w:p>
            <w:pPr>
              <w:spacing w:after="0"/>
              <w:rPr>
                <w:sz w:val="14"/>
                <w:szCs w:val="14"/>
                <w:color w:val="auto"/>
              </w:rPr>
            </w:pPr>
          </w:p>
        </w:tc>
        <w:tc>
          <w:tcPr>
            <w:tcW w:w="1020" w:type="dxa"/>
            <w:vAlign w:val="bottom"/>
            <w:tcBorders>
              <w:bottom w:val="single" w:sz="8" w:color="E4E4E4"/>
            </w:tcBorders>
            <w:gridSpan w:val="2"/>
            <w:shd w:val="clear" w:color="auto" w:fill="E4E4E4"/>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line="178" w:lineRule="exact"/>
              <w:rPr>
                <w:sz w:val="20"/>
                <w:szCs w:val="20"/>
                <w:color w:val="auto"/>
              </w:rPr>
            </w:pPr>
            <w:r>
              <w:rPr>
                <w:rFonts w:ascii="Times New Roman" w:cs="Times New Roman" w:eastAsia="Times New Roman" w:hAnsi="Times New Roman"/>
                <w:sz w:val="16"/>
                <w:szCs w:val="16"/>
                <w:color w:val="1E1E1E"/>
              </w:rPr>
              <w:t>Distributions to noncontrolling interests</w:t>
            </w:r>
          </w:p>
        </w:tc>
        <w:tc>
          <w:tcPr>
            <w:tcW w:w="134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7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4,054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line="17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5"/>
                <w:szCs w:val="15"/>
                <w:color w:val="auto"/>
              </w:rPr>
            </w:pPr>
          </w:p>
        </w:tc>
        <w:tc>
          <w:tcPr>
            <w:tcW w:w="108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80"/>
              <w:spacing w:after="0" w:line="178" w:lineRule="exact"/>
              <w:rPr>
                <w:sz w:val="20"/>
                <w:szCs w:val="20"/>
                <w:color w:val="auto"/>
              </w:rPr>
            </w:pPr>
            <w:r>
              <w:rPr>
                <w:rFonts w:ascii="Times New Roman" w:cs="Times New Roman" w:eastAsia="Times New Roman" w:hAnsi="Times New Roman"/>
                <w:sz w:val="16"/>
                <w:szCs w:val="16"/>
                <w:color w:val="1E1E1E"/>
              </w:rPr>
              <w:t>(16,925)</w:t>
            </w:r>
          </w:p>
        </w:tc>
        <w:tc>
          <w:tcPr>
            <w:tcW w:w="220" w:type="dxa"/>
            <w:vAlign w:val="bottom"/>
          </w:tcPr>
          <w:p>
            <w:pPr>
              <w:spacing w:after="0"/>
              <w:rPr>
                <w:sz w:val="15"/>
                <w:szCs w:val="15"/>
                <w:color w:val="auto"/>
              </w:rPr>
            </w:pPr>
          </w:p>
        </w:tc>
        <w:tc>
          <w:tcPr>
            <w:tcW w:w="1080" w:type="dxa"/>
            <w:vAlign w:val="bottom"/>
            <w:gridSpan w:val="2"/>
          </w:tcPr>
          <w:p>
            <w:pPr>
              <w:jc w:val="right"/>
              <w:ind w:right="100"/>
              <w:spacing w:after="0" w:line="178" w:lineRule="exact"/>
              <w:rPr>
                <w:sz w:val="20"/>
                <w:szCs w:val="20"/>
                <w:color w:val="auto"/>
              </w:rPr>
            </w:pPr>
            <w:r>
              <w:rPr>
                <w:rFonts w:ascii="Times New Roman" w:cs="Times New Roman" w:eastAsia="Times New Roman" w:hAnsi="Times New Roman"/>
                <w:sz w:val="16"/>
                <w:szCs w:val="16"/>
                <w:color w:val="1E1E1E"/>
              </w:rPr>
              <w:t>(12,871)</w:t>
            </w:r>
          </w:p>
        </w:tc>
        <w:tc>
          <w:tcPr>
            <w:tcW w:w="0" w:type="dxa"/>
            <w:vAlign w:val="bottom"/>
          </w:tcPr>
          <w:p>
            <w:pPr>
              <w:spacing w:after="0"/>
              <w:rPr>
                <w:sz w:val="1"/>
                <w:szCs w:val="1"/>
                <w:color w:val="auto"/>
              </w:rPr>
            </w:pPr>
          </w:p>
        </w:tc>
      </w:tr>
      <w:tr>
        <w:trPr>
          <w:trHeight w:val="192"/>
        </w:trPr>
        <w:tc>
          <w:tcPr>
            <w:tcW w:w="30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Balance at December 31, 2022</w:t>
            </w: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105,138,273</w:t>
            </w:r>
          </w:p>
        </w:tc>
        <w:tc>
          <w:tcPr>
            <w:tcW w:w="140" w:type="dxa"/>
            <w:vAlign w:val="bottom"/>
            <w:shd w:val="clear" w:color="auto" w:fill="E4E4E4"/>
          </w:tcPr>
          <w:p>
            <w:pPr>
              <w:spacing w:after="0"/>
              <w:rPr>
                <w:sz w:val="16"/>
                <w:szCs w:val="16"/>
                <w:color w:val="auto"/>
              </w:rPr>
            </w:pP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105</w:t>
            </w:r>
          </w:p>
        </w:tc>
        <w:tc>
          <w:tcPr>
            <w:tcW w:w="160" w:type="dxa"/>
            <w:vAlign w:val="bottom"/>
            <w:tcBorders>
              <w:right w:val="single" w:sz="8" w:color="E4E4E4"/>
            </w:tcBorders>
            <w:shd w:val="clear" w:color="auto" w:fill="E4E4E4"/>
          </w:tcPr>
          <w:p>
            <w:pPr>
              <w:spacing w:after="0"/>
              <w:rPr>
                <w:sz w:val="16"/>
                <w:szCs w:val="16"/>
                <w:color w:val="auto"/>
              </w:rPr>
            </w:pPr>
          </w:p>
        </w:tc>
        <w:tc>
          <w:tcPr>
            <w:tcW w:w="11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50,433,101</w:t>
            </w:r>
          </w:p>
        </w:tc>
        <w:tc>
          <w:tcPr>
            <w:tcW w:w="20" w:type="dxa"/>
            <w:vAlign w:val="bottom"/>
            <w:tcBorders>
              <w:bottom w:val="single" w:sz="8" w:color="1E1E1E"/>
            </w:tcBorders>
          </w:tcPr>
          <w:p>
            <w:pPr>
              <w:spacing w:after="0"/>
              <w:rPr>
                <w:sz w:val="16"/>
                <w:szCs w:val="16"/>
                <w:color w:val="auto"/>
              </w:rPr>
            </w:pPr>
          </w:p>
        </w:tc>
        <w:tc>
          <w:tcPr>
            <w:tcW w:w="140" w:type="dxa"/>
            <w:vAlign w:val="bottom"/>
            <w:tcBorders>
              <w:right w:val="single" w:sz="8" w:color="E4E4E4"/>
            </w:tcBorders>
            <w:shd w:val="clear" w:color="auto" w:fill="E4E4E4"/>
          </w:tcPr>
          <w:p>
            <w:pPr>
              <w:spacing w:after="0"/>
              <w:rPr>
                <w:sz w:val="16"/>
                <w:szCs w:val="16"/>
                <w:color w:val="auto"/>
              </w:rPr>
            </w:pPr>
          </w:p>
        </w:tc>
        <w:tc>
          <w:tcPr>
            <w:tcW w:w="160" w:type="dxa"/>
            <w:vAlign w:val="bottom"/>
            <w:tcBorders>
              <w:bottom w:val="single" w:sz="8" w:color="1E1E1E"/>
            </w:tcBorders>
          </w:tcPr>
          <w:p>
            <w:pPr>
              <w:jc w:val="right"/>
              <w:ind w:right="43"/>
              <w:spacing w:after="0"/>
              <w:rPr>
                <w:sz w:val="20"/>
                <w:szCs w:val="20"/>
                <w:color w:val="auto"/>
              </w:rPr>
            </w:pPr>
            <w:r>
              <w:rPr>
                <w:rFonts w:ascii="Times New Roman" w:cs="Times New Roman" w:eastAsia="Times New Roman" w:hAnsi="Times New Roman"/>
                <w:sz w:val="11"/>
                <w:szCs w:val="11"/>
                <w:color w:val="1E1E1E"/>
                <w:w w:val="71"/>
              </w:rPr>
              <w:t>$</w:t>
            </w:r>
          </w:p>
        </w:tc>
        <w:tc>
          <w:tcPr>
            <w:tcW w:w="880" w:type="dxa"/>
            <w:vAlign w:val="bottom"/>
            <w:tcBorders>
              <w:bottom w:val="single" w:sz="8" w:color="1E1E1E"/>
            </w:tcBorders>
          </w:tcPr>
          <w:p>
            <w:pPr>
              <w:ind w:left="720"/>
              <w:spacing w:after="0"/>
              <w:rPr>
                <w:sz w:val="20"/>
                <w:szCs w:val="20"/>
                <w:color w:val="auto"/>
              </w:rPr>
            </w:pPr>
            <w:r>
              <w:rPr>
                <w:rFonts w:ascii="Times New Roman" w:cs="Times New Roman" w:eastAsia="Times New Roman" w:hAnsi="Times New Roman"/>
                <w:sz w:val="16"/>
                <w:szCs w:val="16"/>
                <w:color w:val="1E1E1E"/>
                <w:w w:val="87"/>
              </w:rPr>
              <w:t>—</w:t>
            </w:r>
          </w:p>
        </w:tc>
        <w:tc>
          <w:tcPr>
            <w:tcW w:w="140" w:type="dxa"/>
            <w:vAlign w:val="bottom"/>
            <w:shd w:val="clear" w:color="auto" w:fill="E4E4E4"/>
          </w:tcPr>
          <w:p>
            <w:pPr>
              <w:spacing w:after="0"/>
              <w:rPr>
                <w:sz w:val="16"/>
                <w:szCs w:val="16"/>
                <w:color w:val="auto"/>
              </w:rPr>
            </w:pP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970,207</w:t>
            </w:r>
          </w:p>
        </w:tc>
        <w:tc>
          <w:tcPr>
            <w:tcW w:w="140" w:type="dxa"/>
            <w:vAlign w:val="bottom"/>
            <w:shd w:val="clear" w:color="auto" w:fill="E4E4E4"/>
          </w:tcPr>
          <w:p>
            <w:pPr>
              <w:spacing w:after="0"/>
              <w:rPr>
                <w:sz w:val="16"/>
                <w:szCs w:val="16"/>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1E1E1E"/>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(25,062)</w:t>
            </w:r>
          </w:p>
        </w:tc>
        <w:tc>
          <w:tcPr>
            <w:tcW w:w="140" w:type="dxa"/>
            <w:vAlign w:val="bottom"/>
            <w:tcBorders>
              <w:right w:val="single" w:sz="8" w:color="E4E4E4"/>
            </w:tcBorders>
            <w:shd w:val="clear" w:color="auto" w:fill="E4E4E4"/>
          </w:tcPr>
          <w:p>
            <w:pPr>
              <w:spacing w:after="0"/>
              <w:rPr>
                <w:sz w:val="16"/>
                <w:szCs w:val="16"/>
                <w:color w:val="auto"/>
              </w:rPr>
            </w:pPr>
          </w:p>
        </w:tc>
        <w:tc>
          <w:tcPr>
            <w:tcW w:w="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3,668</w:t>
            </w:r>
          </w:p>
        </w:tc>
        <w:tc>
          <w:tcPr>
            <w:tcW w:w="100" w:type="dxa"/>
            <w:vAlign w:val="bottom"/>
            <w:shd w:val="clear" w:color="auto" w:fill="E4E4E4"/>
          </w:tcPr>
          <w:p>
            <w:pPr>
              <w:spacing w:after="0"/>
              <w:rPr>
                <w:sz w:val="16"/>
                <w:szCs w:val="16"/>
                <w:color w:val="auto"/>
              </w:rPr>
            </w:pPr>
          </w:p>
        </w:tc>
        <w:tc>
          <w:tcPr>
            <w:tcW w:w="60" w:type="dxa"/>
            <w:vAlign w:val="bottom"/>
            <w:tcBorders>
              <w:right w:val="single" w:sz="8" w:color="E4E4E4"/>
            </w:tcBorders>
            <w:shd w:val="clear" w:color="auto" w:fill="E4E4E4"/>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533,027</w:t>
            </w:r>
          </w:p>
        </w:tc>
        <w:tc>
          <w:tcPr>
            <w:tcW w:w="140" w:type="dxa"/>
            <w:vAlign w:val="bottom"/>
            <w:tcBorders>
              <w:right w:val="single" w:sz="8" w:color="E4E4E4"/>
            </w:tcBorders>
            <w:shd w:val="clear" w:color="auto" w:fill="E4E4E4"/>
          </w:tcPr>
          <w:p>
            <w:pPr>
              <w:spacing w:after="0"/>
              <w:rPr>
                <w:sz w:val="16"/>
                <w:szCs w:val="16"/>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1E1E1E"/>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1E1E1E"/>
              </w:rPr>
              <w:t>1,481,945</w:t>
            </w:r>
          </w:p>
        </w:tc>
        <w:tc>
          <w:tcPr>
            <w:tcW w:w="1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line="138" w:lineRule="exact"/>
              <w:rPr>
                <w:sz w:val="20"/>
                <w:szCs w:val="20"/>
                <w:color w:val="auto"/>
              </w:rPr>
            </w:pPr>
            <w:r>
              <w:rPr>
                <w:rFonts w:ascii="Times New Roman" w:cs="Times New Roman" w:eastAsia="Times New Roman" w:hAnsi="Times New Roman"/>
                <w:sz w:val="15"/>
                <w:szCs w:val="15"/>
                <w:color w:val="1E1E1E"/>
              </w:rPr>
              <w:t>Net loss</w:t>
            </w:r>
          </w:p>
        </w:tc>
        <w:tc>
          <w:tcPr>
            <w:tcW w:w="120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w:t>
            </w:r>
          </w:p>
        </w:tc>
        <w:tc>
          <w:tcPr>
            <w:tcW w:w="160" w:type="dxa"/>
            <w:vAlign w:val="bottom"/>
          </w:tcPr>
          <w:p>
            <w:pPr>
              <w:spacing w:after="0"/>
              <w:rPr>
                <w:sz w:val="11"/>
                <w:szCs w:val="11"/>
                <w:color w:val="auto"/>
              </w:rPr>
            </w:pPr>
          </w:p>
        </w:tc>
        <w:tc>
          <w:tcPr>
            <w:tcW w:w="118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720"/>
              <w:spacing w:after="0" w:line="138" w:lineRule="exact"/>
              <w:rPr>
                <w:sz w:val="20"/>
                <w:szCs w:val="20"/>
                <w:color w:val="auto"/>
              </w:rPr>
            </w:pPr>
            <w:r>
              <w:rPr>
                <w:rFonts w:ascii="Times New Roman" w:cs="Times New Roman" w:eastAsia="Times New Roman" w:hAnsi="Times New Roman"/>
                <w:sz w:val="15"/>
                <w:szCs w:val="15"/>
                <w:color w:val="1E1E1E"/>
                <w:w w:val="93"/>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(202,388)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(87,239)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1E1E1E"/>
              </w:rPr>
              <w:t>(289,627)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Other comprehensive loss</w:t>
            </w:r>
          </w:p>
        </w:tc>
        <w:tc>
          <w:tcPr>
            <w:tcW w:w="13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2"/>
                <w:szCs w:val="2"/>
                <w:color w:val="auto"/>
              </w:rPr>
            </w:pPr>
          </w:p>
        </w:tc>
        <w:tc>
          <w:tcPr>
            <w:tcW w:w="1080" w:type="dxa"/>
            <w:vAlign w:val="bottom"/>
            <w:gridSpan w:val="2"/>
            <w:vMerge w:val="restart"/>
          </w:tcPr>
          <w:p>
            <w:pPr>
              <w:jc w:val="right"/>
              <w:ind w:right="40"/>
              <w:spacing w:after="0" w:line="182" w:lineRule="exact"/>
              <w:rPr>
                <w:sz w:val="20"/>
                <w:szCs w:val="20"/>
                <w:color w:val="auto"/>
              </w:rPr>
            </w:pPr>
            <w:r>
              <w:rPr>
                <w:rFonts w:ascii="Times New Roman" w:cs="Times New Roman" w:eastAsia="Times New Roman" w:hAnsi="Times New Roman"/>
                <w:sz w:val="16"/>
                <w:szCs w:val="16"/>
                <w:color w:val="1E1E1E"/>
              </w:rPr>
              <w:t>(1,559)</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(596)</w:t>
            </w:r>
          </w:p>
        </w:tc>
        <w:tc>
          <w:tcPr>
            <w:tcW w:w="220" w:type="dxa"/>
            <w:vAlign w:val="bottom"/>
          </w:tcPr>
          <w:p>
            <w:pPr>
              <w:spacing w:after="0"/>
              <w:rPr>
                <w:sz w:val="2"/>
                <w:szCs w:val="2"/>
                <w:color w:val="auto"/>
              </w:rPr>
            </w:pPr>
          </w:p>
        </w:tc>
        <w:tc>
          <w:tcPr>
            <w:tcW w:w="1080" w:type="dxa"/>
            <w:vAlign w:val="bottom"/>
            <w:gridSpan w:val="2"/>
            <w:vMerge w:val="restart"/>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(2,155)</w:t>
            </w:r>
          </w:p>
        </w:tc>
        <w:tc>
          <w:tcPr>
            <w:tcW w:w="0" w:type="dxa"/>
            <w:vAlign w:val="bottom"/>
          </w:tcPr>
          <w:p>
            <w:pPr>
              <w:spacing w:after="0" w:line="20" w:lineRule="exact"/>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E4E4E4"/>
              <w:right w:val="single" w:sz="8" w:color="E4E4E4"/>
            </w:tcBorders>
            <w:gridSpan w:val="2"/>
            <w:shd w:val="clear" w:color="auto" w:fill="E4E4E4"/>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160" w:type="dxa"/>
            <w:vAlign w:val="bottom"/>
            <w:tcBorders>
              <w:bottom w:val="single" w:sz="8" w:color="E4E4E4"/>
            </w:tcBorders>
            <w:shd w:val="clear" w:color="auto" w:fill="E4E4E4"/>
          </w:tcPr>
          <w:p>
            <w:pPr>
              <w:spacing w:after="0"/>
              <w:rPr>
                <w:sz w:val="14"/>
                <w:szCs w:val="14"/>
                <w:color w:val="auto"/>
              </w:rPr>
            </w:pPr>
          </w:p>
        </w:tc>
        <w:tc>
          <w:tcPr>
            <w:tcW w:w="1020" w:type="dxa"/>
            <w:vAlign w:val="bottom"/>
            <w:tcBorders>
              <w:bottom w:val="single" w:sz="8" w:color="E4E4E4"/>
            </w:tcBorders>
            <w:gridSpan w:val="2"/>
            <w:shd w:val="clear" w:color="auto" w:fill="E4E4E4"/>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Vested incentive units</w:t>
            </w:r>
          </w:p>
        </w:tc>
        <w:tc>
          <w:tcPr>
            <w:tcW w:w="13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(6,327)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6,327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Issuance of Class A Common Stock upon</w:t>
            </w: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shd w:val="clear" w:color="auto" w:fill="E4E4E4"/>
          </w:tcPr>
          <w:p>
            <w:pPr>
              <w:spacing w:after="0"/>
              <w:rPr>
                <w:sz w:val="12"/>
                <w:szCs w:val="12"/>
                <w:color w:val="auto"/>
              </w:rPr>
            </w:pPr>
          </w:p>
        </w:tc>
        <w:tc>
          <w:tcPr>
            <w:tcW w:w="160" w:type="dxa"/>
            <w:vAlign w:val="bottom"/>
            <w:tcBorders>
              <w:right w:val="single" w:sz="8" w:color="E4E4E4"/>
            </w:tcBorders>
            <w:shd w:val="clear" w:color="auto" w:fill="E4E4E4"/>
          </w:tcPr>
          <w:p>
            <w:pPr>
              <w:spacing w:after="0"/>
              <w:rPr>
                <w:sz w:val="12"/>
                <w:szCs w:val="12"/>
                <w:color w:val="auto"/>
              </w:rPr>
            </w:pPr>
          </w:p>
        </w:tc>
        <w:tc>
          <w:tcPr>
            <w:tcW w:w="1180" w:type="dxa"/>
            <w:vAlign w:val="bottom"/>
            <w:shd w:val="clear" w:color="auto" w:fill="E4E4E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E4E4E4"/>
            </w:tcBorders>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88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vesting of RSUs</w:t>
            </w:r>
          </w:p>
        </w:tc>
        <w:tc>
          <w:tcPr>
            <w:tcW w:w="13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1,300,786</w:t>
            </w:r>
          </w:p>
        </w:tc>
        <w:tc>
          <w:tcPr>
            <w:tcW w:w="140" w:type="dxa"/>
            <w:vAlign w:val="bottom"/>
          </w:tcPr>
          <w:p>
            <w:pPr>
              <w:spacing w:after="0"/>
              <w:rPr>
                <w:sz w:val="17"/>
                <w:szCs w:val="17"/>
                <w:color w:val="auto"/>
              </w:rPr>
            </w:pPr>
          </w:p>
        </w:tc>
        <w:tc>
          <w:tcPr>
            <w:tcW w:w="1040" w:type="dxa"/>
            <w:vAlign w:val="bottom"/>
            <w:tcBorders>
              <w:bottom w:val="single" w:sz="8" w:color="E4E4E4"/>
              <w:right w:val="single" w:sz="8" w:color="E4E4E4"/>
            </w:tcBorders>
            <w:gridSpan w:val="2"/>
            <w:shd w:val="clear" w:color="auto" w:fill="E4E4E4"/>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shd w:val="clear" w:color="auto" w:fill="E4E4E4"/>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7"/>
                <w:szCs w:val="17"/>
                <w:color w:val="auto"/>
              </w:rPr>
            </w:pPr>
          </w:p>
        </w:tc>
        <w:tc>
          <w:tcPr>
            <w:tcW w:w="140" w:type="dxa"/>
            <w:vAlign w:val="bottom"/>
            <w:tcBorders>
              <w:bottom w:val="single" w:sz="8" w:color="E4E4E4"/>
              <w:right w:val="single" w:sz="8" w:color="E4E4E4"/>
            </w:tcBorders>
            <w:shd w:val="clear" w:color="auto" w:fill="E4E4E4"/>
          </w:tcPr>
          <w:p>
            <w:pPr>
              <w:spacing w:after="0"/>
              <w:rPr>
                <w:sz w:val="17"/>
                <w:szCs w:val="17"/>
                <w:color w:val="auto"/>
              </w:rPr>
            </w:pPr>
          </w:p>
        </w:tc>
        <w:tc>
          <w:tcPr>
            <w:tcW w:w="160" w:type="dxa"/>
            <w:vAlign w:val="bottom"/>
            <w:tcBorders>
              <w:bottom w:val="single" w:sz="8" w:color="E4E4E4"/>
            </w:tcBorders>
            <w:shd w:val="clear" w:color="auto" w:fill="E4E4E4"/>
          </w:tcPr>
          <w:p>
            <w:pPr>
              <w:spacing w:after="0"/>
              <w:rPr>
                <w:sz w:val="17"/>
                <w:szCs w:val="17"/>
                <w:color w:val="auto"/>
              </w:rPr>
            </w:pPr>
          </w:p>
        </w:tc>
        <w:tc>
          <w:tcPr>
            <w:tcW w:w="1020" w:type="dxa"/>
            <w:vAlign w:val="bottom"/>
            <w:tcBorders>
              <w:bottom w:val="single" w:sz="8" w:color="E4E4E4"/>
            </w:tcBorders>
            <w:gridSpan w:val="2"/>
            <w:shd w:val="clear" w:color="auto" w:fill="E4E4E4"/>
          </w:tcPr>
          <w:p>
            <w:pPr>
              <w:ind w:left="7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1E1E1E"/>
              </w:rPr>
              <w:t>2,419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(2,419)</w:t>
            </w:r>
          </w:p>
        </w:tc>
        <w:tc>
          <w:tcPr>
            <w:tcW w:w="220" w:type="dxa"/>
            <w:vAlign w:val="bottom"/>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Borders>
              <w:bottom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Shares withheld related to net share settlement</w:t>
            </w:r>
          </w:p>
        </w:tc>
        <w:tc>
          <w:tcPr>
            <w:tcW w:w="134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6"/>
                <w:szCs w:val="16"/>
                <w:color w:val="1E1E1E"/>
              </w:rPr>
              <w:t>(438,840)</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(4,432)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2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(4,432)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Effect of LLC unit exchanges</w:t>
            </w:r>
          </w:p>
        </w:tc>
        <w:tc>
          <w:tcPr>
            <w:tcW w:w="13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10,562,033</w:t>
            </w:r>
          </w:p>
        </w:tc>
        <w:tc>
          <w:tcPr>
            <w:tcW w:w="140" w:type="dxa"/>
            <w:vAlign w:val="bottom"/>
          </w:tcPr>
          <w:p>
            <w:pPr>
              <w:spacing w:after="0"/>
              <w:rPr>
                <w:sz w:val="2"/>
                <w:szCs w:val="2"/>
                <w:color w:val="auto"/>
              </w:rPr>
            </w:pPr>
          </w:p>
        </w:tc>
        <w:tc>
          <w:tcPr>
            <w:tcW w:w="1040" w:type="dxa"/>
            <w:vAlign w:val="bottom"/>
            <w:gridSpan w:val="2"/>
            <w:vMerge w:val="restart"/>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12</w:t>
            </w:r>
          </w:p>
        </w:tc>
        <w:tc>
          <w:tcPr>
            <w:tcW w:w="118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(10,562,033)</w:t>
            </w: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89,177</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2"/>
                <w:szCs w:val="2"/>
                <w:color w:val="auto"/>
              </w:rPr>
            </w:pPr>
          </w:p>
        </w:tc>
        <w:tc>
          <w:tcPr>
            <w:tcW w:w="1080" w:type="dxa"/>
            <w:vAlign w:val="bottom"/>
            <w:gridSpan w:val="2"/>
            <w:vMerge w:val="restart"/>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(112,203)</w:t>
            </w:r>
          </w:p>
        </w:tc>
        <w:tc>
          <w:tcPr>
            <w:tcW w:w="220" w:type="dxa"/>
            <w:vAlign w:val="bottom"/>
          </w:tcPr>
          <w:p>
            <w:pPr>
              <w:spacing w:after="0"/>
              <w:rPr>
                <w:sz w:val="2"/>
                <w:szCs w:val="2"/>
                <w:color w:val="auto"/>
              </w:rPr>
            </w:pPr>
          </w:p>
        </w:tc>
        <w:tc>
          <w:tcPr>
            <w:tcW w:w="1080" w:type="dxa"/>
            <w:vAlign w:val="bottom"/>
            <w:gridSpan w:val="2"/>
            <w:vMerge w:val="restart"/>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(23,014)</w:t>
            </w:r>
          </w:p>
        </w:tc>
        <w:tc>
          <w:tcPr>
            <w:tcW w:w="0" w:type="dxa"/>
            <w:vAlign w:val="bottom"/>
          </w:tcPr>
          <w:p>
            <w:pPr>
              <w:spacing w:after="0" w:line="20" w:lineRule="exact"/>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160" w:type="dxa"/>
            <w:vAlign w:val="bottom"/>
            <w:tcBorders>
              <w:bottom w:val="single" w:sz="8" w:color="E4E4E4"/>
            </w:tcBorders>
            <w:shd w:val="clear" w:color="auto" w:fill="E4E4E4"/>
          </w:tcPr>
          <w:p>
            <w:pPr>
              <w:spacing w:after="0"/>
              <w:rPr>
                <w:sz w:val="14"/>
                <w:szCs w:val="14"/>
                <w:color w:val="auto"/>
              </w:rPr>
            </w:pPr>
          </w:p>
        </w:tc>
        <w:tc>
          <w:tcPr>
            <w:tcW w:w="1020" w:type="dxa"/>
            <w:vAlign w:val="bottom"/>
            <w:tcBorders>
              <w:bottom w:val="single" w:sz="8" w:color="E4E4E4"/>
            </w:tcBorders>
            <w:gridSpan w:val="2"/>
            <w:shd w:val="clear" w:color="auto" w:fill="E4E4E4"/>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Forfeited unvested incentive units</w:t>
            </w:r>
          </w:p>
        </w:tc>
        <w:tc>
          <w:tcPr>
            <w:tcW w:w="13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(108,368)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34"/>
        </w:trPr>
        <w:tc>
          <w:tcPr>
            <w:tcW w:w="30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Equity-based compensation</w:t>
            </w:r>
          </w:p>
        </w:tc>
        <w:tc>
          <w:tcPr>
            <w:tcW w:w="13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35,537</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2"/>
                <w:szCs w:val="2"/>
                <w:color w:val="auto"/>
              </w:rPr>
            </w:pPr>
          </w:p>
        </w:tc>
        <w:tc>
          <w:tcPr>
            <w:tcW w:w="1080" w:type="dxa"/>
            <w:vAlign w:val="bottom"/>
            <w:gridSpan w:val="2"/>
            <w:vMerge w:val="restart"/>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13,202</w:t>
            </w: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vMerge w:val="restart"/>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48,739</w:t>
            </w:r>
          </w:p>
        </w:tc>
        <w:tc>
          <w:tcPr>
            <w:tcW w:w="0" w:type="dxa"/>
            <w:vAlign w:val="bottom"/>
          </w:tcPr>
          <w:p>
            <w:pPr>
              <w:spacing w:after="0" w:line="20" w:lineRule="exact"/>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E4E4E4"/>
              <w:right w:val="single" w:sz="8" w:color="E4E4E4"/>
            </w:tcBorders>
            <w:gridSpan w:val="2"/>
            <w:shd w:val="clear" w:color="auto" w:fill="E4E4E4"/>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continue"/>
          </w:tcPr>
          <w:p>
            <w:pPr>
              <w:spacing w:after="0"/>
              <w:rPr>
                <w:sz w:val="14"/>
                <w:szCs w:val="14"/>
                <w:color w:val="auto"/>
              </w:rPr>
            </w:pPr>
          </w:p>
        </w:tc>
        <w:tc>
          <w:tcPr>
            <w:tcW w:w="140" w:type="dxa"/>
            <w:vAlign w:val="bottom"/>
            <w:tcBorders>
              <w:bottom w:val="single" w:sz="8" w:color="E4E4E4"/>
              <w:right w:val="single" w:sz="8" w:color="E4E4E4"/>
            </w:tcBorders>
            <w:shd w:val="clear" w:color="auto" w:fill="E4E4E4"/>
          </w:tcPr>
          <w:p>
            <w:pPr>
              <w:spacing w:after="0"/>
              <w:rPr>
                <w:sz w:val="14"/>
                <w:szCs w:val="14"/>
                <w:color w:val="auto"/>
              </w:rPr>
            </w:pPr>
          </w:p>
        </w:tc>
        <w:tc>
          <w:tcPr>
            <w:tcW w:w="160" w:type="dxa"/>
            <w:vAlign w:val="bottom"/>
            <w:tcBorders>
              <w:bottom w:val="single" w:sz="8" w:color="E4E4E4"/>
            </w:tcBorders>
            <w:shd w:val="clear" w:color="auto" w:fill="E4E4E4"/>
          </w:tcPr>
          <w:p>
            <w:pPr>
              <w:spacing w:after="0"/>
              <w:rPr>
                <w:sz w:val="14"/>
                <w:szCs w:val="14"/>
                <w:color w:val="auto"/>
              </w:rPr>
            </w:pPr>
          </w:p>
        </w:tc>
        <w:tc>
          <w:tcPr>
            <w:tcW w:w="1020" w:type="dxa"/>
            <w:vAlign w:val="bottom"/>
            <w:tcBorders>
              <w:bottom w:val="single" w:sz="8" w:color="E4E4E4"/>
            </w:tcBorders>
            <w:gridSpan w:val="2"/>
            <w:shd w:val="clear" w:color="auto" w:fill="E4E4E4"/>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Distributions to noncontrolling interests</w:t>
            </w:r>
          </w:p>
        </w:tc>
        <w:tc>
          <w:tcPr>
            <w:tcW w:w="13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1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6"/>
                <w:szCs w:val="16"/>
                <w:color w:val="1E1E1E"/>
              </w:rPr>
              <w:t>(12,282)</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6"/>
                <w:szCs w:val="16"/>
                <w:color w:val="1E1E1E"/>
              </w:rPr>
              <w:t>(12,282)</w:t>
            </w:r>
          </w:p>
        </w:tc>
        <w:tc>
          <w:tcPr>
            <w:tcW w:w="0" w:type="dxa"/>
            <w:vAlign w:val="bottom"/>
          </w:tcPr>
          <w:p>
            <w:pPr>
              <w:spacing w:after="0"/>
              <w:rPr>
                <w:sz w:val="1"/>
                <w:szCs w:val="1"/>
                <w:color w:val="auto"/>
              </w:rPr>
            </w:pPr>
          </w:p>
        </w:tc>
      </w:tr>
      <w:tr>
        <w:trPr>
          <w:trHeight w:val="34"/>
        </w:trPr>
        <w:tc>
          <w:tcPr>
            <w:tcW w:w="3080" w:type="dxa"/>
            <w:vAlign w:val="bottom"/>
          </w:tcPr>
          <w:p>
            <w:pPr>
              <w:spacing w:after="0"/>
              <w:rPr>
                <w:sz w:val="2"/>
                <w:szCs w:val="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116,562,252</w:t>
            </w:r>
          </w:p>
        </w:tc>
        <w:tc>
          <w:tcPr>
            <w:tcW w:w="14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117</w:t>
            </w:r>
          </w:p>
        </w:tc>
        <w:tc>
          <w:tcPr>
            <w:tcW w:w="160" w:type="dxa"/>
            <w:vAlign w:val="bottom"/>
          </w:tcPr>
          <w:p>
            <w:pPr>
              <w:spacing w:after="0"/>
              <w:rPr>
                <w:sz w:val="2"/>
                <w:szCs w:val="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39,762,700</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1E1E1E"/>
                <w:w w:val="71"/>
              </w:rPr>
              <w:t>$</w:t>
            </w:r>
          </w:p>
        </w:tc>
        <w:tc>
          <w:tcPr>
            <w:tcW w:w="88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1E1E1E"/>
                <w:w w:val="87"/>
              </w:rPr>
              <w:t>—</w:t>
            </w:r>
          </w:p>
        </w:tc>
        <w:tc>
          <w:tcPr>
            <w:tcW w:w="140" w:type="dxa"/>
            <w:vAlign w:val="bottom"/>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1,086,581</w:t>
            </w:r>
          </w:p>
        </w:tc>
        <w:tc>
          <w:tcPr>
            <w:tcW w:w="140" w:type="dxa"/>
            <w:vAlign w:val="bottom"/>
          </w:tcPr>
          <w:p>
            <w:pPr>
              <w:spacing w:after="0"/>
              <w:rPr>
                <w:sz w:val="2"/>
                <w:szCs w:val="2"/>
                <w:color w:val="auto"/>
              </w:rPr>
            </w:pPr>
          </w:p>
        </w:tc>
        <w:tc>
          <w:tcPr>
            <w:tcW w:w="18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1E1E1E"/>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(227,450)</w:t>
            </w:r>
          </w:p>
        </w:tc>
        <w:tc>
          <w:tcPr>
            <w:tcW w:w="140" w:type="dxa"/>
            <w:vAlign w:val="bottom"/>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2,109</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337,817</w:t>
            </w:r>
          </w:p>
        </w:tc>
        <w:tc>
          <w:tcPr>
            <w:tcW w:w="140" w:type="dxa"/>
            <w:vAlign w:val="bottom"/>
          </w:tcPr>
          <w:p>
            <w:pPr>
              <w:spacing w:after="0"/>
              <w:rPr>
                <w:sz w:val="2"/>
                <w:szCs w:val="2"/>
                <w:color w:val="auto"/>
              </w:rPr>
            </w:pPr>
          </w:p>
        </w:tc>
        <w:tc>
          <w:tcPr>
            <w:tcW w:w="2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1E1E1E"/>
                <w:w w:val="74"/>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1,199,174</w:t>
            </w: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color w:val="1E1E1E"/>
              </w:rPr>
              <w:t>Balance at December 31, 2023</w:t>
            </w:r>
          </w:p>
        </w:tc>
        <w:tc>
          <w:tcPr>
            <w:tcW w:w="1200" w:type="dxa"/>
            <w:vAlign w:val="bottom"/>
            <w:tcBorders>
              <w:bottom w:val="single" w:sz="8" w:color="1E1E1E"/>
            </w:tcBorders>
            <w:vMerge w:val="continue"/>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40" w:type="dxa"/>
            <w:vAlign w:val="bottom"/>
            <w:tcBorders>
              <w:bottom w:val="single" w:sz="8" w:color="1E1E1E"/>
            </w:tcBorders>
            <w:vMerge w:val="continue"/>
          </w:tcPr>
          <w:p>
            <w:pPr>
              <w:spacing w:after="0"/>
              <w:rPr>
                <w:sz w:val="16"/>
                <w:szCs w:val="16"/>
                <w:color w:val="auto"/>
              </w:rPr>
            </w:pPr>
          </w:p>
        </w:tc>
        <w:tc>
          <w:tcPr>
            <w:tcW w:w="880" w:type="dxa"/>
            <w:vAlign w:val="bottom"/>
            <w:tcBorders>
              <w:bottom w:val="single" w:sz="8" w:color="1E1E1E"/>
            </w:tcBorders>
            <w:vMerge w:val="continue"/>
          </w:tcPr>
          <w:p>
            <w:pPr>
              <w:spacing w:after="0"/>
              <w:rPr>
                <w:sz w:val="16"/>
                <w:szCs w:val="16"/>
                <w:color w:val="auto"/>
              </w:rPr>
            </w:pPr>
          </w:p>
        </w:tc>
        <w:tc>
          <w:tcPr>
            <w:tcW w:w="160" w:type="dxa"/>
            <w:vAlign w:val="bottom"/>
            <w:tcBorders>
              <w:right w:val="single" w:sz="8" w:color="E4E4E4"/>
            </w:tcBorders>
            <w:shd w:val="clear" w:color="auto" w:fill="E4E4E4"/>
          </w:tcPr>
          <w:p>
            <w:pPr>
              <w:spacing w:after="0"/>
              <w:rPr>
                <w:sz w:val="16"/>
                <w:szCs w:val="16"/>
                <w:color w:val="auto"/>
              </w:rPr>
            </w:pPr>
          </w:p>
        </w:tc>
        <w:tc>
          <w:tcPr>
            <w:tcW w:w="1180" w:type="dxa"/>
            <w:vAlign w:val="bottom"/>
            <w:tcBorders>
              <w:bottom w:val="single" w:sz="8" w:color="1E1E1E"/>
            </w:tcBorders>
            <w:vMerge w:val="continue"/>
          </w:tcPr>
          <w:p>
            <w:pPr>
              <w:spacing w:after="0"/>
              <w:rPr>
                <w:sz w:val="16"/>
                <w:szCs w:val="16"/>
                <w:color w:val="auto"/>
              </w:rPr>
            </w:pPr>
          </w:p>
        </w:tc>
        <w:tc>
          <w:tcPr>
            <w:tcW w:w="20" w:type="dxa"/>
            <w:vAlign w:val="bottom"/>
            <w:tcBorders>
              <w:bottom w:val="single" w:sz="8" w:color="1E1E1E"/>
            </w:tcBorders>
          </w:tcPr>
          <w:p>
            <w:pPr>
              <w:spacing w:after="0"/>
              <w:rPr>
                <w:sz w:val="16"/>
                <w:szCs w:val="16"/>
                <w:color w:val="auto"/>
              </w:rPr>
            </w:pPr>
          </w:p>
        </w:tc>
        <w:tc>
          <w:tcPr>
            <w:tcW w:w="140" w:type="dxa"/>
            <w:vAlign w:val="bottom"/>
            <w:tcBorders>
              <w:right w:val="single" w:sz="8" w:color="E4E4E4"/>
            </w:tcBorders>
            <w:shd w:val="clear" w:color="auto" w:fill="E4E4E4"/>
          </w:tcPr>
          <w:p>
            <w:pPr>
              <w:spacing w:after="0"/>
              <w:rPr>
                <w:sz w:val="16"/>
                <w:szCs w:val="16"/>
                <w:color w:val="auto"/>
              </w:rPr>
            </w:pPr>
          </w:p>
        </w:tc>
        <w:tc>
          <w:tcPr>
            <w:tcW w:w="160" w:type="dxa"/>
            <w:vAlign w:val="bottom"/>
            <w:tcBorders>
              <w:bottom w:val="single" w:sz="8" w:color="1E1E1E"/>
            </w:tcBorders>
            <w:vMerge w:val="continue"/>
          </w:tcPr>
          <w:p>
            <w:pPr>
              <w:spacing w:after="0"/>
              <w:rPr>
                <w:sz w:val="16"/>
                <w:szCs w:val="16"/>
                <w:color w:val="auto"/>
              </w:rPr>
            </w:pPr>
          </w:p>
        </w:tc>
        <w:tc>
          <w:tcPr>
            <w:tcW w:w="880" w:type="dxa"/>
            <w:vAlign w:val="bottom"/>
            <w:tcBorders>
              <w:bottom w:val="single" w:sz="8" w:color="1E1E1E"/>
            </w:tcBorders>
            <w:vMerge w:val="continue"/>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40" w:type="dxa"/>
            <w:vAlign w:val="bottom"/>
            <w:tcBorders>
              <w:bottom w:val="single" w:sz="8" w:color="1E1E1E"/>
            </w:tcBorders>
            <w:vMerge w:val="continue"/>
          </w:tcPr>
          <w:p>
            <w:pPr>
              <w:spacing w:after="0"/>
              <w:rPr>
                <w:sz w:val="16"/>
                <w:szCs w:val="16"/>
                <w:color w:val="auto"/>
              </w:rPr>
            </w:pPr>
          </w:p>
        </w:tc>
        <w:tc>
          <w:tcPr>
            <w:tcW w:w="900" w:type="dxa"/>
            <w:vAlign w:val="bottom"/>
            <w:tcBorders>
              <w:bottom w:val="single" w:sz="8" w:color="1E1E1E"/>
            </w:tcBorders>
            <w:vMerge w:val="continue"/>
          </w:tcPr>
          <w:p>
            <w:pPr>
              <w:spacing w:after="0"/>
              <w:rPr>
                <w:sz w:val="16"/>
                <w:szCs w:val="16"/>
                <w:color w:val="auto"/>
              </w:rPr>
            </w:pPr>
          </w:p>
        </w:tc>
        <w:tc>
          <w:tcPr>
            <w:tcW w:w="140" w:type="dxa"/>
            <w:vAlign w:val="bottom"/>
            <w:shd w:val="clear" w:color="auto" w:fill="E4E4E4"/>
          </w:tcPr>
          <w:p>
            <w:pPr>
              <w:spacing w:after="0"/>
              <w:rPr>
                <w:sz w:val="16"/>
                <w:szCs w:val="16"/>
                <w:color w:val="auto"/>
              </w:rPr>
            </w:pPr>
          </w:p>
        </w:tc>
        <w:tc>
          <w:tcPr>
            <w:tcW w:w="180" w:type="dxa"/>
            <w:vAlign w:val="bottom"/>
            <w:tcBorders>
              <w:bottom w:val="single" w:sz="8" w:color="1E1E1E"/>
            </w:tcBorders>
            <w:vMerge w:val="continue"/>
          </w:tcPr>
          <w:p>
            <w:pPr>
              <w:spacing w:after="0"/>
              <w:rPr>
                <w:sz w:val="16"/>
                <w:szCs w:val="16"/>
                <w:color w:val="auto"/>
              </w:rPr>
            </w:pPr>
          </w:p>
        </w:tc>
        <w:tc>
          <w:tcPr>
            <w:tcW w:w="820" w:type="dxa"/>
            <w:vAlign w:val="bottom"/>
            <w:tcBorders>
              <w:bottom w:val="single" w:sz="8" w:color="1E1E1E"/>
            </w:tcBorders>
            <w:vMerge w:val="continue"/>
          </w:tcPr>
          <w:p>
            <w:pPr>
              <w:spacing w:after="0"/>
              <w:rPr>
                <w:sz w:val="16"/>
                <w:szCs w:val="16"/>
                <w:color w:val="auto"/>
              </w:rPr>
            </w:pPr>
          </w:p>
        </w:tc>
        <w:tc>
          <w:tcPr>
            <w:tcW w:w="140" w:type="dxa"/>
            <w:vAlign w:val="bottom"/>
            <w:tcBorders>
              <w:right w:val="single" w:sz="8" w:color="E4E4E4"/>
            </w:tcBorders>
            <w:shd w:val="clear" w:color="auto" w:fill="E4E4E4"/>
          </w:tcPr>
          <w:p>
            <w:pPr>
              <w:spacing w:after="0"/>
              <w:rPr>
                <w:sz w:val="16"/>
                <w:szCs w:val="16"/>
                <w:color w:val="auto"/>
              </w:rPr>
            </w:pPr>
          </w:p>
        </w:tc>
        <w:tc>
          <w:tcPr>
            <w:tcW w:w="80" w:type="dxa"/>
            <w:vAlign w:val="bottom"/>
            <w:tcBorders>
              <w:bottom w:val="single" w:sz="8" w:color="1E1E1E"/>
            </w:tcBorders>
            <w:vMerge w:val="continue"/>
          </w:tcPr>
          <w:p>
            <w:pPr>
              <w:spacing w:after="0"/>
              <w:rPr>
                <w:sz w:val="16"/>
                <w:szCs w:val="16"/>
                <w:color w:val="auto"/>
              </w:rPr>
            </w:pPr>
          </w:p>
        </w:tc>
        <w:tc>
          <w:tcPr>
            <w:tcW w:w="980" w:type="dxa"/>
            <w:vAlign w:val="bottom"/>
            <w:tcBorders>
              <w:bottom w:val="single" w:sz="8" w:color="1E1E1E"/>
            </w:tcBorders>
            <w:vMerge w:val="continue"/>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60" w:type="dxa"/>
            <w:vAlign w:val="bottom"/>
            <w:tcBorders>
              <w:right w:val="single" w:sz="8" w:color="E4E4E4"/>
            </w:tcBorders>
            <w:shd w:val="clear" w:color="auto" w:fill="E4E4E4"/>
          </w:tcPr>
          <w:p>
            <w:pPr>
              <w:spacing w:after="0"/>
              <w:rPr>
                <w:sz w:val="16"/>
                <w:szCs w:val="16"/>
                <w:color w:val="auto"/>
              </w:rPr>
            </w:pPr>
          </w:p>
        </w:tc>
        <w:tc>
          <w:tcPr>
            <w:tcW w:w="80" w:type="dxa"/>
            <w:vAlign w:val="bottom"/>
            <w:tcBorders>
              <w:bottom w:val="single" w:sz="8" w:color="1E1E1E"/>
            </w:tcBorders>
            <w:vMerge w:val="continue"/>
          </w:tcPr>
          <w:p>
            <w:pPr>
              <w:spacing w:after="0"/>
              <w:rPr>
                <w:sz w:val="16"/>
                <w:szCs w:val="16"/>
                <w:color w:val="auto"/>
              </w:rPr>
            </w:pPr>
          </w:p>
        </w:tc>
        <w:tc>
          <w:tcPr>
            <w:tcW w:w="1080" w:type="dxa"/>
            <w:vAlign w:val="bottom"/>
            <w:tcBorders>
              <w:bottom w:val="single" w:sz="8" w:color="1E1E1E"/>
            </w:tcBorders>
            <w:vMerge w:val="continue"/>
          </w:tcPr>
          <w:p>
            <w:pPr>
              <w:spacing w:after="0"/>
              <w:rPr>
                <w:sz w:val="16"/>
                <w:szCs w:val="16"/>
                <w:color w:val="auto"/>
              </w:rPr>
            </w:pPr>
          </w:p>
        </w:tc>
        <w:tc>
          <w:tcPr>
            <w:tcW w:w="140" w:type="dxa"/>
            <w:vAlign w:val="bottom"/>
            <w:tcBorders>
              <w:right w:val="single" w:sz="8" w:color="E4E4E4"/>
            </w:tcBorders>
            <w:shd w:val="clear" w:color="auto" w:fill="E4E4E4"/>
          </w:tcPr>
          <w:p>
            <w:pPr>
              <w:spacing w:after="0"/>
              <w:rPr>
                <w:sz w:val="16"/>
                <w:szCs w:val="16"/>
                <w:color w:val="auto"/>
              </w:rPr>
            </w:pPr>
          </w:p>
        </w:tc>
        <w:tc>
          <w:tcPr>
            <w:tcW w:w="220" w:type="dxa"/>
            <w:vAlign w:val="bottom"/>
            <w:tcBorders>
              <w:bottom w:val="single" w:sz="8" w:color="1E1E1E"/>
            </w:tcBorders>
            <w:vMerge w:val="continue"/>
          </w:tcPr>
          <w:p>
            <w:pPr>
              <w:spacing w:after="0"/>
              <w:rPr>
                <w:sz w:val="16"/>
                <w:szCs w:val="16"/>
                <w:color w:val="auto"/>
              </w:rPr>
            </w:pPr>
          </w:p>
        </w:tc>
        <w:tc>
          <w:tcPr>
            <w:tcW w:w="920" w:type="dxa"/>
            <w:vAlign w:val="bottom"/>
            <w:tcBorders>
              <w:bottom w:val="single" w:sz="8" w:color="1E1E1E"/>
            </w:tcBorders>
            <w:vMerge w:val="continue"/>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-2694305</wp:posOffset>
            </wp:positionV>
            <wp:extent cx="9052560" cy="268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52560" cy="2685415"/>
                    </a:xfrm>
                    <a:prstGeom prst="rect">
                      <a:avLst/>
                    </a:prstGeom>
                    <a:noFill/>
                  </pic:spPr>
                </pic:pic>
              </a:graphicData>
            </a:graphic>
          </wp:anchor>
        </w:drawing>
      </w:r>
    </w:p>
    <w:p>
      <w:pPr>
        <w:jc w:val="center"/>
        <w:ind w:right="20"/>
        <w:spacing w:after="0" w:line="223" w:lineRule="auto"/>
        <w:rPr>
          <w:sz w:val="20"/>
          <w:szCs w:val="20"/>
          <w:color w:val="auto"/>
        </w:rPr>
      </w:pPr>
      <w:r>
        <w:rPr>
          <w:rFonts w:ascii="Times New Roman" w:cs="Times New Roman" w:eastAsia="Times New Roman" w:hAnsi="Times New Roman"/>
          <w:sz w:val="20"/>
          <w:szCs w:val="20"/>
          <w:color w:val="1E1E1E"/>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-125730</wp:posOffset>
            </wp:positionV>
            <wp:extent cx="700659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6590" cy="9525"/>
                    </a:xfrm>
                    <a:prstGeom prst="rect">
                      <a:avLst/>
                    </a:prstGeom>
                    <a:noFill/>
                  </pic:spPr>
                </pic:pic>
              </a:graphicData>
            </a:graphic>
          </wp:anchor>
        </w:drawing>
      </w:r>
    </w:p>
    <w:p>
      <w:pPr>
        <w:sectPr>
          <w:pgSz w:w="15480" w:h="11880" w:orient="landscape"/>
          <w:cols w:equalWidth="0" w:num="2">
            <w:col w:w="230" w:space="150"/>
            <w:col w:w="14260"/>
          </w:cols>
          <w:pgMar w:left="560" w:top="712" w:right="280"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1E1E1E"/>
              </w:rPr>
              <w:t>F-9</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1E1E1E"/>
        </w:rPr>
        <w:t>DEFINITIVE HEALTHCARE CORP.</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CHANGES IN MEMBERS’ EQUITY AND TOTAL EQUITY (CONTINUED)</w:t>
      </w:r>
    </w:p>
    <w:p>
      <w:pPr>
        <w:jc w:val="center"/>
        <w:spacing w:after="0" w:line="237" w:lineRule="auto"/>
        <w:rPr>
          <w:sz w:val="20"/>
          <w:szCs w:val="20"/>
          <w:color w:val="auto"/>
        </w:rPr>
      </w:pPr>
      <w:r>
        <w:rPr>
          <w:rFonts w:ascii="Times New Roman" w:cs="Times New Roman" w:eastAsia="Times New Roman" w:hAnsi="Times New Roman"/>
          <w:sz w:val="20"/>
          <w:szCs w:val="20"/>
          <w:i w:val="1"/>
          <w:iCs w:val="1"/>
          <w:color w:val="1E1E1E"/>
        </w:rPr>
        <w:t>(amounts in thousands, except unit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61"/>
        </w:trPr>
        <w:tc>
          <w:tcPr>
            <w:tcW w:w="4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w w:val="99"/>
              </w:rPr>
              <w:t>AIDH TopCo,</w:t>
            </w: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1E1E1E"/>
                <w:w w:val="97"/>
              </w:rPr>
              <w:t>LLC</w:t>
            </w:r>
          </w:p>
        </w:tc>
        <w:tc>
          <w:tcPr>
            <w:tcW w:w="80" w:type="dxa"/>
            <w:vAlign w:val="bottom"/>
            <w:tcBorders>
              <w:lef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1E1E1E"/>
              </w:rPr>
              <w:t>(Prior to</w:t>
            </w:r>
          </w:p>
        </w:tc>
        <w:tc>
          <w:tcPr>
            <w:tcW w:w="80" w:type="dxa"/>
            <w:vAlign w:val="bottom"/>
            <w:tcBorders>
              <w:lef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1E1E1E"/>
              </w:rPr>
              <w:t>Reorganization</w:t>
            </w:r>
          </w:p>
        </w:tc>
        <w:tc>
          <w:tcPr>
            <w:tcW w:w="80" w:type="dxa"/>
            <w:vAlign w:val="bottom"/>
            <w:tcBorders>
              <w:lef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8"/>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1E1E1E"/>
              </w:rPr>
              <w:t>Definitive Healthcare Corp.</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w w:val="96"/>
              </w:rPr>
              <w:t>Transactions)</w:t>
            </w:r>
          </w:p>
        </w:tc>
        <w:tc>
          <w:tcPr>
            <w:tcW w:w="8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8"/>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left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1E1E1E"/>
                <w:w w:val="98"/>
              </w:rPr>
              <w:t>Accumulated</w:t>
            </w: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1E1E1E"/>
              </w:rPr>
              <w:t>Additional</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1E1E1E"/>
                <w:w w:val="94"/>
              </w:rPr>
              <w:t>Other</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w w:val="98"/>
              </w:rPr>
              <w:t>Members'</w:t>
            </w:r>
          </w:p>
        </w:tc>
        <w:tc>
          <w:tcPr>
            <w:tcW w:w="80" w:type="dxa"/>
            <w:vAlign w:val="bottom"/>
            <w:tcBorders>
              <w:left w:val="single" w:sz="8" w:color="auto"/>
            </w:tcBorders>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1E1E1E"/>
              </w:rPr>
              <w:t>Class A</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1E1E1E"/>
              </w:rPr>
              <w:t>Class A</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1E1E1E"/>
              </w:rPr>
              <w:t>Class B</w:t>
            </w:r>
          </w:p>
        </w:tc>
        <w:tc>
          <w:tcPr>
            <w:tcW w:w="12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1E1E1E"/>
              </w:rPr>
              <w:t>Class B</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1E1E1E"/>
              </w:rPr>
              <w:t>Paid-In</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1E1E1E"/>
              </w:rPr>
              <w:t>Accumulated</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1E1E1E"/>
              </w:rPr>
              <w:t>Comprehensive</w:t>
            </w: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1E1E1E"/>
                <w:w w:val="99"/>
              </w:rPr>
              <w:t>Noncontrolling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1E1E1E"/>
              </w:rPr>
              <w:t>Total</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1E1E1E"/>
                <w:w w:val="98"/>
              </w:rPr>
              <w:t>Equity</w:t>
            </w:r>
          </w:p>
        </w:tc>
        <w:tc>
          <w:tcPr>
            <w:tcW w:w="80" w:type="dxa"/>
            <w:vAlign w:val="bottom"/>
            <w:tcBorders>
              <w:left w:val="single" w:sz="8" w:color="auto"/>
            </w:tcBorders>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1E1E1E"/>
              </w:rPr>
              <w:t>Stock</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1E1E1E"/>
              </w:rPr>
              <w:t>Amount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1E1E1E"/>
              </w:rPr>
              <w:t>Stock</w:t>
            </w:r>
          </w:p>
        </w:tc>
        <w:tc>
          <w:tcPr>
            <w:tcW w:w="1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1E1E1E"/>
              </w:rPr>
              <w:t>Amount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1E1E1E"/>
                <w:w w:val="99"/>
              </w:rPr>
              <w:t>Capital</w:t>
            </w:r>
          </w:p>
        </w:tc>
        <w:tc>
          <w:tcPr>
            <w:tcW w:w="16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1E1E1E"/>
              </w:rPr>
              <w:t>Deficit</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1E1E1E"/>
                <w:w w:val="97"/>
              </w:rPr>
              <w:t>(Loss) Income</w:t>
            </w:r>
          </w:p>
        </w:tc>
        <w:tc>
          <w:tcPr>
            <w:tcW w:w="140" w:type="dxa"/>
            <w:vAlign w:val="bottom"/>
          </w:tcPr>
          <w:p>
            <w:pPr>
              <w:spacing w:after="0"/>
              <w:rPr>
                <w:sz w:val="15"/>
                <w:szCs w:val="15"/>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1E1E1E"/>
                <w:w w:val="95"/>
              </w:rPr>
              <w:t>Interests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1E1E1E"/>
              </w:rPr>
              <w:t>Equity</w:t>
            </w:r>
          </w:p>
        </w:tc>
        <w:tc>
          <w:tcPr>
            <w:tcW w:w="0" w:type="dxa"/>
            <w:vAlign w:val="bottom"/>
          </w:tcPr>
          <w:p>
            <w:pPr>
              <w:spacing w:after="0"/>
              <w:rPr>
                <w:sz w:val="1"/>
                <w:szCs w:val="1"/>
                <w:color w:val="auto"/>
              </w:rPr>
            </w:pPr>
          </w:p>
        </w:tc>
      </w:tr>
      <w:tr>
        <w:trPr>
          <w:trHeight w:val="50"/>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color w:val="1E1E1E"/>
              </w:rPr>
              <w:t>Balance at December 31, 2020</w:t>
            </w:r>
          </w:p>
        </w:tc>
        <w:tc>
          <w:tcPr>
            <w:tcW w:w="40" w:type="dxa"/>
            <w:vAlign w:val="bottom"/>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1,192,703</w:t>
            </w:r>
          </w:p>
        </w:tc>
        <w:tc>
          <w:tcPr>
            <w:tcW w:w="120" w:type="dxa"/>
            <w:vAlign w:val="bottom"/>
            <w:tcBorders>
              <w:bottom w:val="single" w:sz="8" w:color="E4E4E4"/>
            </w:tcBorders>
          </w:tcPr>
          <w:p>
            <w:pPr>
              <w:spacing w:after="0"/>
              <w:rPr>
                <w:sz w:val="4"/>
                <w:szCs w:val="4"/>
                <w:color w:val="auto"/>
              </w:rPr>
            </w:pPr>
          </w:p>
        </w:tc>
        <w:tc>
          <w:tcPr>
            <w:tcW w:w="80" w:type="dxa"/>
            <w:vAlign w:val="bottom"/>
            <w:tcBorders>
              <w:left w:val="single" w:sz="8" w:color="auto"/>
            </w:tcBorders>
          </w:tcPr>
          <w:p>
            <w:pPr>
              <w:spacing w:after="0"/>
              <w:rPr>
                <w:sz w:val="4"/>
                <w:szCs w:val="4"/>
                <w:color w:val="auto"/>
              </w:rPr>
            </w:pPr>
          </w:p>
        </w:tc>
        <w:tc>
          <w:tcPr>
            <w:tcW w:w="800" w:type="dxa"/>
            <w:vAlign w:val="bottom"/>
            <w:tcBorders>
              <w:bottom w:val="single" w:sz="8" w:color="1E1E1E"/>
            </w:tcBorders>
          </w:tcPr>
          <w:p>
            <w:pPr>
              <w:spacing w:after="0"/>
              <w:rPr>
                <w:sz w:val="4"/>
                <w:szCs w:val="4"/>
                <w:color w:val="auto"/>
              </w:rPr>
            </w:pPr>
          </w:p>
        </w:tc>
        <w:tc>
          <w:tcPr>
            <w:tcW w:w="140" w:type="dxa"/>
            <w:vAlign w:val="bottom"/>
            <w:tcBorders>
              <w:bottom w:val="single" w:sz="8" w:color="E4E4E4"/>
            </w:tcBorders>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1E1E1E"/>
                <w:w w:val="87"/>
              </w:rPr>
              <w:t>—</w:t>
            </w:r>
          </w:p>
        </w:tc>
        <w:tc>
          <w:tcPr>
            <w:tcW w:w="140" w:type="dxa"/>
            <w:vAlign w:val="bottom"/>
            <w:tcBorders>
              <w:bottom w:val="single" w:sz="8" w:color="E4E4E4"/>
            </w:tcBorders>
          </w:tcPr>
          <w:p>
            <w:pPr>
              <w:spacing w:after="0"/>
              <w:rPr>
                <w:sz w:val="4"/>
                <w:szCs w:val="4"/>
                <w:color w:val="auto"/>
              </w:rPr>
            </w:pPr>
          </w:p>
        </w:tc>
        <w:tc>
          <w:tcPr>
            <w:tcW w:w="860" w:type="dxa"/>
            <w:vAlign w:val="bottom"/>
            <w:tcBorders>
              <w:bottom w:val="single" w:sz="8" w:color="1E1E1E"/>
            </w:tcBorders>
          </w:tcPr>
          <w:p>
            <w:pPr>
              <w:spacing w:after="0"/>
              <w:rPr>
                <w:sz w:val="4"/>
                <w:szCs w:val="4"/>
                <w:color w:val="auto"/>
              </w:rPr>
            </w:pPr>
          </w:p>
        </w:tc>
        <w:tc>
          <w:tcPr>
            <w:tcW w:w="140" w:type="dxa"/>
            <w:vAlign w:val="bottom"/>
            <w:tcBorders>
              <w:bottom w:val="single" w:sz="8" w:color="E4E4E4"/>
            </w:tcBorders>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6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1E1E1E"/>
                <w:w w:val="74"/>
              </w:rPr>
              <w:t>—</w:t>
            </w:r>
          </w:p>
        </w:tc>
        <w:tc>
          <w:tcPr>
            <w:tcW w:w="140" w:type="dxa"/>
            <w:vAlign w:val="bottom"/>
            <w:tcBorders>
              <w:bottom w:val="single" w:sz="8" w:color="E4E4E4"/>
            </w:tcBorders>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tcPr>
          <w:p>
            <w:pPr>
              <w:spacing w:after="0"/>
              <w:rPr>
                <w:sz w:val="4"/>
                <w:szCs w:val="4"/>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1E1E1E"/>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(131)</w:t>
            </w:r>
          </w:p>
        </w:tc>
        <w:tc>
          <w:tcPr>
            <w:tcW w:w="140" w:type="dxa"/>
            <w:vAlign w:val="bottom"/>
            <w:tcBorders>
              <w:bottom w:val="single" w:sz="8" w:color="E4E4E4"/>
            </w:tcBorders>
          </w:tcPr>
          <w:p>
            <w:pPr>
              <w:spacing w:after="0"/>
              <w:rPr>
                <w:sz w:val="4"/>
                <w:szCs w:val="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4"/>
                <w:szCs w:val="4"/>
                <w:color w:val="auto"/>
              </w:rPr>
            </w:pPr>
          </w:p>
        </w:tc>
        <w:tc>
          <w:tcPr>
            <w:tcW w:w="140" w:type="dxa"/>
            <w:vAlign w:val="bottom"/>
            <w:tcBorders>
              <w:bottom w:val="single" w:sz="8" w:color="E4E4E4"/>
            </w:tcBorders>
            <w:gridSpan w:val="2"/>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w w:val="99"/>
              </w:rPr>
              <w:t>1,192,572</w:t>
            </w:r>
          </w:p>
        </w:tc>
        <w:tc>
          <w:tcPr>
            <w:tcW w:w="140" w:type="dxa"/>
            <w:vAlign w:val="bottom"/>
            <w:tcBorders>
              <w:bottom w:val="single" w:sz="8" w:color="E4E4E4"/>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43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Borders>
              <w:bottom w:val="single" w:sz="8" w:color="E4E4E4"/>
            </w:tcBorders>
            <w:shd w:val="clear" w:color="auto" w:fill="E4E4E4"/>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800" w:type="dxa"/>
            <w:vAlign w:val="bottom"/>
            <w:tcBorders>
              <w:bottom w:val="single" w:sz="8" w:color="E4E4E4"/>
            </w:tcBorders>
            <w:shd w:val="clear" w:color="auto" w:fill="E4E4E4"/>
          </w:tcPr>
          <w:p>
            <w:pPr>
              <w:jc w:val="right"/>
              <w:spacing w:after="0" w:line="118"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Borders>
              <w:bottom w:val="single" w:sz="8" w:color="E4E4E4"/>
            </w:tcBorders>
            <w:shd w:val="clear" w:color="auto" w:fill="E4E4E4"/>
          </w:tcPr>
          <w:p>
            <w:pPr>
              <w:spacing w:after="0"/>
              <w:rPr>
                <w:sz w:val="11"/>
                <w:szCs w:val="11"/>
                <w:color w:val="auto"/>
              </w:rPr>
            </w:pPr>
          </w:p>
        </w:tc>
        <w:tc>
          <w:tcPr>
            <w:tcW w:w="860" w:type="dxa"/>
            <w:vAlign w:val="bottom"/>
            <w:tcBorders>
              <w:bottom w:val="single" w:sz="8" w:color="E4E4E4"/>
            </w:tcBorders>
            <w:shd w:val="clear" w:color="auto" w:fill="E4E4E4"/>
          </w:tcPr>
          <w:p>
            <w:pPr>
              <w:jc w:val="right"/>
              <w:spacing w:after="0" w:line="118"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1"/>
                <w:szCs w:val="11"/>
                <w:color w:val="auto"/>
              </w:rPr>
            </w:pPr>
          </w:p>
        </w:tc>
        <w:tc>
          <w:tcPr>
            <w:tcW w:w="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Borders>
              <w:bottom w:val="single" w:sz="8" w:color="E4E4E4"/>
            </w:tcBorders>
            <w:shd w:val="clear" w:color="auto" w:fill="E4E4E4"/>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Borders>
              <w:bottom w:val="single" w:sz="8" w:color="E4E4E4"/>
            </w:tcBorders>
            <w:shd w:val="clear" w:color="auto" w:fill="E4E4E4"/>
          </w:tcPr>
          <w:p>
            <w:pPr>
              <w:spacing w:after="0"/>
              <w:rPr>
                <w:sz w:val="11"/>
                <w:szCs w:val="11"/>
                <w:color w:val="auto"/>
              </w:rPr>
            </w:pPr>
          </w:p>
        </w:tc>
        <w:tc>
          <w:tcPr>
            <w:tcW w:w="1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Borders>
              <w:bottom w:val="single" w:sz="8" w:color="E4E4E4"/>
              <w:right w:val="single" w:sz="8" w:color="E4E4E4"/>
            </w:tcBorders>
            <w:shd w:val="clear" w:color="auto" w:fill="E4E4E4"/>
          </w:tcPr>
          <w:p>
            <w:pPr>
              <w:spacing w:after="0"/>
              <w:rPr>
                <w:sz w:val="11"/>
                <w:szCs w:val="11"/>
                <w:color w:val="auto"/>
              </w:rPr>
            </w:pPr>
          </w:p>
        </w:tc>
        <w:tc>
          <w:tcPr>
            <w:tcW w:w="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Borders>
              <w:bottom w:val="single" w:sz="8" w:color="E4E4E4"/>
              <w:right w:val="single" w:sz="8" w:color="E4E4E4"/>
            </w:tcBorders>
            <w:shd w:val="clear" w:color="auto" w:fill="E4E4E4"/>
          </w:tcPr>
          <w:p>
            <w:pPr>
              <w:spacing w:after="0"/>
              <w:rPr>
                <w:sz w:val="11"/>
                <w:szCs w:val="11"/>
                <w:color w:val="auto"/>
              </w:rPr>
            </w:pPr>
          </w:p>
        </w:tc>
        <w:tc>
          <w:tcPr>
            <w:tcW w:w="1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E4E4E4"/>
            </w:tcBorders>
            <w:shd w:val="clear" w:color="auto" w:fill="E4E4E4"/>
          </w:tcPr>
          <w:p>
            <w:pPr>
              <w:spacing w:after="0"/>
              <w:rPr>
                <w:sz w:val="11"/>
                <w:szCs w:val="11"/>
                <w:color w:val="auto"/>
              </w:rPr>
            </w:pPr>
          </w:p>
        </w:tc>
        <w:tc>
          <w:tcPr>
            <w:tcW w:w="60" w:type="dxa"/>
            <w:vAlign w:val="bottom"/>
            <w:tcBorders>
              <w:bottom w:val="single" w:sz="8" w:color="E4E4E4"/>
              <w:right w:val="single" w:sz="8" w:color="E4E4E4"/>
            </w:tcBorders>
            <w:shd w:val="clear" w:color="auto" w:fill="E4E4E4"/>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bottom w:val="single" w:sz="8" w:color="E4E4E4"/>
            </w:tcBorders>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Net loss prior to Reorganization Transactions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(34,068)</w:t>
            </w: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40"/>
              <w:spacing w:after="0" w:line="148" w:lineRule="exact"/>
              <w:rPr>
                <w:sz w:val="20"/>
                <w:szCs w:val="20"/>
                <w:color w:val="auto"/>
              </w:rPr>
            </w:pPr>
            <w:r>
              <w:rPr>
                <w:rFonts w:ascii="Times New Roman" w:cs="Times New Roman" w:eastAsia="Times New Roman" w:hAnsi="Times New Roman"/>
                <w:sz w:val="16"/>
                <w:szCs w:val="16"/>
                <w:color w:val="1E1E1E"/>
                <w:w w:val="87"/>
              </w:rPr>
              <w:t>—</w:t>
            </w:r>
          </w:p>
        </w:tc>
        <w:tc>
          <w:tcPr>
            <w:tcW w:w="14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500"/>
              <w:spacing w:after="0" w:line="148" w:lineRule="exact"/>
              <w:rPr>
                <w:sz w:val="20"/>
                <w:szCs w:val="20"/>
                <w:color w:val="auto"/>
              </w:rPr>
            </w:pPr>
            <w:r>
              <w:rPr>
                <w:rFonts w:ascii="Times New Roman" w:cs="Times New Roman" w:eastAsia="Times New Roman" w:hAnsi="Times New Roman"/>
                <w:sz w:val="16"/>
                <w:szCs w:val="16"/>
                <w:color w:val="1E1E1E"/>
                <w:w w:val="74"/>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(34,068)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Other comprehensive income prior to Reorganization Transactions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right"/>
              <w:ind w:right="1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142</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142</w:t>
            </w:r>
          </w:p>
        </w:tc>
        <w:tc>
          <w:tcPr>
            <w:tcW w:w="0" w:type="dxa"/>
            <w:vAlign w:val="bottom"/>
          </w:tcPr>
          <w:p>
            <w:pPr>
              <w:spacing w:after="0" w:line="20" w:lineRule="exact"/>
              <w:rPr>
                <w:sz w:val="1"/>
                <w:szCs w:val="1"/>
                <w:color w:val="auto"/>
              </w:rPr>
            </w:pPr>
          </w:p>
        </w:tc>
      </w:tr>
      <w:tr>
        <w:trPr>
          <w:trHeight w:val="162"/>
        </w:trPr>
        <w:tc>
          <w:tcPr>
            <w:tcW w:w="4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940" w:type="dxa"/>
            <w:vAlign w:val="bottom"/>
            <w:tcBorders>
              <w:bottom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shd w:val="clear" w:color="auto" w:fill="E4E4E4"/>
          </w:tcPr>
          <w:p>
            <w:pPr>
              <w:spacing w:after="0"/>
              <w:rPr>
                <w:sz w:val="14"/>
                <w:szCs w:val="14"/>
                <w:color w:val="auto"/>
              </w:rPr>
            </w:pPr>
          </w:p>
        </w:tc>
        <w:tc>
          <w:tcPr>
            <w:tcW w:w="740" w:type="dxa"/>
            <w:vAlign w:val="bottom"/>
            <w:tcBorders>
              <w:bottom w:val="single" w:sz="8" w:color="E4E4E4"/>
            </w:tcBorders>
            <w:gridSpan w:val="2"/>
            <w:shd w:val="clear" w:color="auto" w:fill="E4E4E4"/>
          </w:tcPr>
          <w:p>
            <w:pPr>
              <w:ind w:left="4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tcBorders>
              <w:bottom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Borders>
              <w:bottom w:val="single" w:sz="8" w:color="E4E4E4"/>
            </w:tcBorders>
            <w:shd w:val="clear" w:color="auto" w:fill="E4E4E4"/>
          </w:tcPr>
          <w:p>
            <w:pPr>
              <w:spacing w:after="0"/>
              <w:rPr>
                <w:sz w:val="14"/>
                <w:szCs w:val="14"/>
                <w:color w:val="auto"/>
              </w:rPr>
            </w:pPr>
          </w:p>
        </w:tc>
        <w:tc>
          <w:tcPr>
            <w:tcW w:w="880" w:type="dxa"/>
            <w:vAlign w:val="bottom"/>
            <w:tcBorders>
              <w:bottom w:val="single" w:sz="8" w:color="E4E4E4"/>
            </w:tcBorders>
            <w:gridSpan w:val="3"/>
            <w:shd w:val="clear" w:color="auto" w:fill="E4E4E4"/>
          </w:tcPr>
          <w:p>
            <w:pPr>
              <w:ind w:left="5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tcBorders>
              <w:bottom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Borders>
              <w:bottom w:val="single" w:sz="8" w:color="E4E4E4"/>
            </w:tcBorders>
            <w:shd w:val="clear" w:color="auto" w:fill="E4E4E4"/>
          </w:tcPr>
          <w:p>
            <w:pPr>
              <w:spacing w:after="0"/>
              <w:rPr>
                <w:sz w:val="14"/>
                <w:szCs w:val="14"/>
                <w:color w:val="auto"/>
              </w:rPr>
            </w:pPr>
          </w:p>
        </w:tc>
        <w:tc>
          <w:tcPr>
            <w:tcW w:w="840" w:type="dxa"/>
            <w:vAlign w:val="bottom"/>
            <w:tcBorders>
              <w:bottom w:val="single" w:sz="8" w:color="E4E4E4"/>
              <w:right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shd w:val="clear" w:color="auto" w:fill="E4E4E4"/>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Equity-based compensation prior to Reorganization Transactions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1,743</w:t>
            </w: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2"/>
                <w:szCs w:val="12"/>
                <w:color w:val="auto"/>
              </w:rPr>
            </w:pPr>
          </w:p>
        </w:tc>
        <w:tc>
          <w:tcPr>
            <w:tcW w:w="740" w:type="dxa"/>
            <w:vAlign w:val="bottom"/>
            <w:gridSpan w:val="2"/>
          </w:tcPr>
          <w:p>
            <w:pPr>
              <w:ind w:left="4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2"/>
                <w:szCs w:val="12"/>
                <w:color w:val="auto"/>
              </w:rPr>
            </w:pPr>
          </w:p>
        </w:tc>
        <w:tc>
          <w:tcPr>
            <w:tcW w:w="880" w:type="dxa"/>
            <w:vAlign w:val="bottom"/>
            <w:gridSpan w:val="3"/>
          </w:tcPr>
          <w:p>
            <w:pPr>
              <w:ind w:left="5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1,743</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Members' contributions prior to Reorganization Transactions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5,500</w:t>
            </w:r>
          </w:p>
        </w:tc>
        <w:tc>
          <w:tcPr>
            <w:tcW w:w="12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5,500</w:t>
            </w:r>
          </w:p>
        </w:tc>
        <w:tc>
          <w:tcPr>
            <w:tcW w:w="0" w:type="dxa"/>
            <w:vAlign w:val="bottom"/>
          </w:tcPr>
          <w:p>
            <w:pPr>
              <w:spacing w:after="0" w:line="20" w:lineRule="exact"/>
              <w:rPr>
                <w:sz w:val="1"/>
                <w:szCs w:val="1"/>
                <w:color w:val="auto"/>
              </w:rPr>
            </w:pPr>
          </w:p>
        </w:tc>
      </w:tr>
      <w:tr>
        <w:trPr>
          <w:trHeight w:val="162"/>
        </w:trPr>
        <w:tc>
          <w:tcPr>
            <w:tcW w:w="4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940" w:type="dxa"/>
            <w:vAlign w:val="bottom"/>
            <w:tcBorders>
              <w:bottom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bottom w:val="single" w:sz="8" w:color="E4E4E4"/>
            </w:tcBorders>
            <w:shd w:val="clear" w:color="auto" w:fill="E4E4E4"/>
          </w:tcPr>
          <w:p>
            <w:pPr>
              <w:spacing w:after="0"/>
              <w:rPr>
                <w:sz w:val="14"/>
                <w:szCs w:val="14"/>
                <w:color w:val="auto"/>
              </w:rPr>
            </w:pPr>
          </w:p>
        </w:tc>
        <w:tc>
          <w:tcPr>
            <w:tcW w:w="740" w:type="dxa"/>
            <w:vAlign w:val="bottom"/>
            <w:tcBorders>
              <w:bottom w:val="single" w:sz="8" w:color="E4E4E4"/>
            </w:tcBorders>
            <w:gridSpan w:val="2"/>
            <w:shd w:val="clear" w:color="auto" w:fill="E4E4E4"/>
          </w:tcPr>
          <w:p>
            <w:pPr>
              <w:ind w:left="4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tcBorders>
              <w:bottom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Borders>
              <w:bottom w:val="single" w:sz="8" w:color="E4E4E4"/>
            </w:tcBorders>
            <w:shd w:val="clear" w:color="auto" w:fill="E4E4E4"/>
          </w:tcPr>
          <w:p>
            <w:pPr>
              <w:spacing w:after="0"/>
              <w:rPr>
                <w:sz w:val="14"/>
                <w:szCs w:val="14"/>
                <w:color w:val="auto"/>
              </w:rPr>
            </w:pPr>
          </w:p>
        </w:tc>
        <w:tc>
          <w:tcPr>
            <w:tcW w:w="880" w:type="dxa"/>
            <w:vAlign w:val="bottom"/>
            <w:tcBorders>
              <w:bottom w:val="single" w:sz="8" w:color="E4E4E4"/>
            </w:tcBorders>
            <w:gridSpan w:val="3"/>
            <w:shd w:val="clear" w:color="auto" w:fill="E4E4E4"/>
          </w:tcPr>
          <w:p>
            <w:pPr>
              <w:ind w:left="5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tcBorders>
              <w:bottom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Borders>
              <w:bottom w:val="single" w:sz="8" w:color="E4E4E4"/>
            </w:tcBorders>
            <w:shd w:val="clear" w:color="auto" w:fill="E4E4E4"/>
          </w:tcPr>
          <w:p>
            <w:pPr>
              <w:spacing w:after="0"/>
              <w:rPr>
                <w:sz w:val="14"/>
                <w:szCs w:val="14"/>
                <w:color w:val="auto"/>
              </w:rPr>
            </w:pPr>
          </w:p>
        </w:tc>
        <w:tc>
          <w:tcPr>
            <w:tcW w:w="840" w:type="dxa"/>
            <w:vAlign w:val="bottom"/>
            <w:tcBorders>
              <w:bottom w:val="single" w:sz="8" w:color="E4E4E4"/>
              <w:right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shd w:val="clear" w:color="auto" w:fill="E4E4E4"/>
          </w:tcPr>
          <w:p>
            <w:pPr>
              <w:spacing w:after="0"/>
              <w:rPr>
                <w:sz w:val="14"/>
                <w:szCs w:val="14"/>
                <w:color w:val="auto"/>
              </w:rPr>
            </w:pPr>
          </w:p>
        </w:tc>
        <w:tc>
          <w:tcPr>
            <w:tcW w:w="940" w:type="dxa"/>
            <w:vAlign w:val="bottom"/>
            <w:tcBorders>
              <w:bottom w:val="single" w:sz="8" w:color="E4E4E4"/>
              <w:right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shd w:val="clear" w:color="auto" w:fill="E4E4E4"/>
          </w:tcPr>
          <w:p>
            <w:pPr>
              <w:spacing w:after="0"/>
              <w:rPr>
                <w:sz w:val="14"/>
                <w:szCs w:val="14"/>
                <w:color w:val="auto"/>
              </w:rPr>
            </w:pPr>
          </w:p>
        </w:tc>
        <w:tc>
          <w:tcPr>
            <w:tcW w:w="80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Distributions to members prior to Reorganization Transactions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6"/>
                <w:szCs w:val="16"/>
                <w:color w:val="1E1E1E"/>
              </w:rPr>
              <w:t>(7,139)</w:t>
            </w:r>
          </w:p>
        </w:tc>
        <w:tc>
          <w:tcPr>
            <w:tcW w:w="80" w:type="dxa"/>
            <w:vAlign w:val="bottom"/>
            <w:tcBorders>
              <w:left w:val="single" w:sz="8" w:color="auto"/>
            </w:tcBorders>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2"/>
                <w:szCs w:val="12"/>
                <w:color w:val="auto"/>
              </w:rPr>
            </w:pPr>
          </w:p>
        </w:tc>
        <w:tc>
          <w:tcPr>
            <w:tcW w:w="740" w:type="dxa"/>
            <w:vAlign w:val="bottom"/>
            <w:gridSpan w:val="2"/>
          </w:tcPr>
          <w:p>
            <w:pPr>
              <w:ind w:left="4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2"/>
                <w:szCs w:val="12"/>
                <w:color w:val="auto"/>
              </w:rPr>
            </w:pPr>
          </w:p>
        </w:tc>
        <w:tc>
          <w:tcPr>
            <w:tcW w:w="880" w:type="dxa"/>
            <w:vAlign w:val="bottom"/>
            <w:gridSpan w:val="3"/>
          </w:tcPr>
          <w:p>
            <w:pPr>
              <w:ind w:left="5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6"/>
                <w:szCs w:val="16"/>
                <w:color w:val="1E1E1E"/>
              </w:rPr>
              <w:t>(7,139)</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b w:val="1"/>
                <w:bCs w:val="1"/>
                <w:color w:val="1E1E1E"/>
              </w:rPr>
              <w:t>Impacts of Reorganization Transactions and Initial Public</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1040" w:type="dxa"/>
            <w:vAlign w:val="bottom"/>
            <w:shd w:val="clear" w:color="auto" w:fill="E4E4E4"/>
          </w:tcPr>
          <w:p>
            <w:pPr>
              <w:spacing w:after="0"/>
              <w:rPr>
                <w:sz w:val="12"/>
                <w:szCs w:val="12"/>
                <w:color w:val="auto"/>
              </w:rPr>
            </w:pPr>
          </w:p>
        </w:tc>
        <w:tc>
          <w:tcPr>
            <w:tcW w:w="120" w:type="dxa"/>
            <w:vAlign w:val="bottom"/>
            <w:shd w:val="clear" w:color="auto" w:fill="E4E4E4"/>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0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60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86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120" w:type="dxa"/>
            <w:vAlign w:val="bottom"/>
            <w:shd w:val="clear" w:color="auto" w:fill="E4E4E4"/>
          </w:tcPr>
          <w:p>
            <w:pPr>
              <w:spacing w:after="0"/>
              <w:rPr>
                <w:sz w:val="12"/>
                <w:szCs w:val="12"/>
                <w:color w:val="auto"/>
              </w:rPr>
            </w:pPr>
          </w:p>
        </w:tc>
        <w:tc>
          <w:tcPr>
            <w:tcW w:w="64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58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700" w:type="dxa"/>
            <w:vAlign w:val="bottom"/>
            <w:shd w:val="clear" w:color="auto" w:fill="E4E4E4"/>
          </w:tcPr>
          <w:p>
            <w:pPr>
              <w:spacing w:after="0"/>
              <w:rPr>
                <w:sz w:val="12"/>
                <w:szCs w:val="12"/>
                <w:color w:val="auto"/>
              </w:rPr>
            </w:pPr>
          </w:p>
        </w:tc>
        <w:tc>
          <w:tcPr>
            <w:tcW w:w="140" w:type="dxa"/>
            <w:vAlign w:val="bottom"/>
            <w:tcBorders>
              <w:right w:val="single" w:sz="8" w:color="E4E4E4"/>
            </w:tcBorders>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800" w:type="dxa"/>
            <w:vAlign w:val="bottom"/>
            <w:shd w:val="clear" w:color="auto" w:fill="E4E4E4"/>
          </w:tcPr>
          <w:p>
            <w:pPr>
              <w:spacing w:after="0"/>
              <w:rPr>
                <w:sz w:val="12"/>
                <w:szCs w:val="12"/>
                <w:color w:val="auto"/>
              </w:rPr>
            </w:pPr>
          </w:p>
        </w:tc>
        <w:tc>
          <w:tcPr>
            <w:tcW w:w="140" w:type="dxa"/>
            <w:vAlign w:val="bottom"/>
            <w:tcBorders>
              <w:right w:val="single" w:sz="8" w:color="E4E4E4"/>
            </w:tcBorders>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80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60" w:type="dxa"/>
            <w:vAlign w:val="bottom"/>
            <w:tcBorders>
              <w:right w:val="single" w:sz="8" w:color="E4E4E4"/>
            </w:tcBorders>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66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1E1E1E"/>
              </w:rPr>
              <w:t>Offering IPO</w:t>
            </w:r>
          </w:p>
        </w:tc>
        <w:tc>
          <w:tcPr>
            <w:tcW w:w="40" w:type="dxa"/>
            <w:vAlign w:val="bottom"/>
          </w:tcPr>
          <w:p>
            <w:pPr>
              <w:spacing w:after="0"/>
              <w:rPr>
                <w:sz w:val="17"/>
                <w:szCs w:val="17"/>
                <w:color w:val="auto"/>
              </w:rPr>
            </w:pPr>
          </w:p>
        </w:tc>
        <w:tc>
          <w:tcPr>
            <w:tcW w:w="80" w:type="dxa"/>
            <w:vAlign w:val="bottom"/>
            <w:tcBorders>
              <w:bottom w:val="single" w:sz="8" w:color="E4E4E4"/>
            </w:tcBorders>
            <w:shd w:val="clear" w:color="auto" w:fill="E4E4E4"/>
          </w:tcPr>
          <w:p>
            <w:pPr>
              <w:spacing w:after="0"/>
              <w:rPr>
                <w:sz w:val="17"/>
                <w:szCs w:val="17"/>
                <w:color w:val="auto"/>
              </w:rPr>
            </w:pPr>
          </w:p>
        </w:tc>
        <w:tc>
          <w:tcPr>
            <w:tcW w:w="1040" w:type="dxa"/>
            <w:vAlign w:val="bottom"/>
            <w:tcBorders>
              <w:bottom w:val="single" w:sz="8" w:color="E4E4E4"/>
            </w:tcBorders>
            <w:shd w:val="clear" w:color="auto" w:fill="E4E4E4"/>
          </w:tcPr>
          <w:p>
            <w:pPr>
              <w:spacing w:after="0"/>
              <w:rPr>
                <w:sz w:val="17"/>
                <w:szCs w:val="17"/>
                <w:color w:val="auto"/>
              </w:rPr>
            </w:pPr>
          </w:p>
        </w:tc>
        <w:tc>
          <w:tcPr>
            <w:tcW w:w="120" w:type="dxa"/>
            <w:vAlign w:val="bottom"/>
            <w:tcBorders>
              <w:bottom w:val="single" w:sz="8" w:color="E4E4E4"/>
            </w:tcBorders>
            <w:shd w:val="clear" w:color="auto" w:fill="E4E4E4"/>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80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100" w:type="dxa"/>
            <w:vAlign w:val="bottom"/>
            <w:tcBorders>
              <w:bottom w:val="single" w:sz="8" w:color="E4E4E4"/>
            </w:tcBorders>
            <w:shd w:val="clear" w:color="auto" w:fill="E4E4E4"/>
          </w:tcPr>
          <w:p>
            <w:pPr>
              <w:spacing w:after="0"/>
              <w:rPr>
                <w:sz w:val="17"/>
                <w:szCs w:val="17"/>
                <w:color w:val="auto"/>
              </w:rPr>
            </w:pPr>
          </w:p>
        </w:tc>
        <w:tc>
          <w:tcPr>
            <w:tcW w:w="60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86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120" w:type="dxa"/>
            <w:vAlign w:val="bottom"/>
            <w:tcBorders>
              <w:bottom w:val="single" w:sz="8" w:color="E4E4E4"/>
            </w:tcBorders>
            <w:shd w:val="clear" w:color="auto" w:fill="E4E4E4"/>
          </w:tcPr>
          <w:p>
            <w:pPr>
              <w:spacing w:after="0"/>
              <w:rPr>
                <w:sz w:val="17"/>
                <w:szCs w:val="17"/>
                <w:color w:val="auto"/>
              </w:rPr>
            </w:pPr>
          </w:p>
        </w:tc>
        <w:tc>
          <w:tcPr>
            <w:tcW w:w="64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100" w:type="dxa"/>
            <w:vAlign w:val="bottom"/>
            <w:tcBorders>
              <w:bottom w:val="single" w:sz="8" w:color="E4E4E4"/>
            </w:tcBorders>
            <w:shd w:val="clear" w:color="auto" w:fill="E4E4E4"/>
          </w:tcPr>
          <w:p>
            <w:pPr>
              <w:spacing w:after="0"/>
              <w:rPr>
                <w:sz w:val="17"/>
                <w:szCs w:val="17"/>
                <w:color w:val="auto"/>
              </w:rPr>
            </w:pPr>
          </w:p>
        </w:tc>
        <w:tc>
          <w:tcPr>
            <w:tcW w:w="58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160" w:type="dxa"/>
            <w:vAlign w:val="bottom"/>
            <w:tcBorders>
              <w:bottom w:val="single" w:sz="8" w:color="E4E4E4"/>
            </w:tcBorders>
            <w:shd w:val="clear" w:color="auto" w:fill="E4E4E4"/>
          </w:tcPr>
          <w:p>
            <w:pPr>
              <w:spacing w:after="0"/>
              <w:rPr>
                <w:sz w:val="17"/>
                <w:szCs w:val="17"/>
                <w:color w:val="auto"/>
              </w:rPr>
            </w:pPr>
          </w:p>
        </w:tc>
        <w:tc>
          <w:tcPr>
            <w:tcW w:w="70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right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right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shd w:val="clear" w:color="auto" w:fill="E4E4E4"/>
          </w:tcPr>
          <w:p>
            <w:pPr>
              <w:spacing w:after="0"/>
              <w:rPr>
                <w:sz w:val="17"/>
                <w:szCs w:val="17"/>
                <w:color w:val="auto"/>
              </w:rPr>
            </w:pPr>
          </w:p>
        </w:tc>
        <w:tc>
          <w:tcPr>
            <w:tcW w:w="20" w:type="dxa"/>
            <w:vAlign w:val="bottom"/>
            <w:tcBorders>
              <w:bottom w:val="single" w:sz="8" w:color="E4E4E4"/>
            </w:tcBorders>
            <w:shd w:val="clear" w:color="auto" w:fill="E4E4E4"/>
          </w:tcPr>
          <w:p>
            <w:pPr>
              <w:spacing w:after="0"/>
              <w:rPr>
                <w:sz w:val="17"/>
                <w:szCs w:val="17"/>
                <w:color w:val="auto"/>
              </w:rPr>
            </w:pPr>
          </w:p>
        </w:tc>
        <w:tc>
          <w:tcPr>
            <w:tcW w:w="80" w:type="dxa"/>
            <w:vAlign w:val="bottom"/>
            <w:tcBorders>
              <w:bottom w:val="single" w:sz="8" w:color="E4E4E4"/>
            </w:tcBorders>
            <w:shd w:val="clear" w:color="auto" w:fill="E4E4E4"/>
          </w:tcPr>
          <w:p>
            <w:pPr>
              <w:spacing w:after="0"/>
              <w:rPr>
                <w:sz w:val="17"/>
                <w:szCs w:val="17"/>
                <w:color w:val="auto"/>
              </w:rPr>
            </w:pPr>
          </w:p>
        </w:tc>
        <w:tc>
          <w:tcPr>
            <w:tcW w:w="60" w:type="dxa"/>
            <w:vAlign w:val="bottom"/>
            <w:tcBorders>
              <w:bottom w:val="single" w:sz="8" w:color="E4E4E4"/>
              <w:right w:val="single" w:sz="8" w:color="E4E4E4"/>
            </w:tcBorders>
            <w:shd w:val="clear" w:color="auto" w:fill="E4E4E4"/>
          </w:tcPr>
          <w:p>
            <w:pPr>
              <w:spacing w:after="0"/>
              <w:rPr>
                <w:sz w:val="17"/>
                <w:szCs w:val="17"/>
                <w:color w:val="auto"/>
              </w:rPr>
            </w:pPr>
          </w:p>
        </w:tc>
        <w:tc>
          <w:tcPr>
            <w:tcW w:w="100" w:type="dxa"/>
            <w:vAlign w:val="bottom"/>
            <w:tcBorders>
              <w:bottom w:val="single" w:sz="8" w:color="E4E4E4"/>
            </w:tcBorders>
            <w:shd w:val="clear" w:color="auto" w:fill="E4E4E4"/>
          </w:tcPr>
          <w:p>
            <w:pPr>
              <w:spacing w:after="0"/>
              <w:rPr>
                <w:sz w:val="17"/>
                <w:szCs w:val="17"/>
                <w:color w:val="auto"/>
              </w:rPr>
            </w:pPr>
          </w:p>
        </w:tc>
        <w:tc>
          <w:tcPr>
            <w:tcW w:w="660" w:type="dxa"/>
            <w:vAlign w:val="bottom"/>
            <w:tcBorders>
              <w:bottom w:val="single" w:sz="8" w:color="E4E4E4"/>
            </w:tcBorders>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Initial effect of the Reorganization Transactions and IPO 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noncontrolling 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6"/>
                <w:szCs w:val="16"/>
                <w:color w:val="1E1E1E"/>
              </w:rPr>
              <w:t>(1,158,739)</w:t>
            </w:r>
          </w:p>
        </w:tc>
        <w:tc>
          <w:tcPr>
            <w:tcW w:w="80" w:type="dxa"/>
            <w:vAlign w:val="bottom"/>
            <w:tcBorders>
              <w:left w:val="single" w:sz="8" w:color="auto"/>
            </w:tcBorders>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72,871,733</w:t>
            </w:r>
          </w:p>
        </w:tc>
        <w:tc>
          <w:tcPr>
            <w:tcW w:w="100" w:type="dxa"/>
            <w:vAlign w:val="bottom"/>
          </w:tcPr>
          <w:p>
            <w:pPr>
              <w:spacing w:after="0"/>
              <w:rPr>
                <w:sz w:val="15"/>
                <w:szCs w:val="15"/>
                <w:color w:val="auto"/>
              </w:rPr>
            </w:pPr>
          </w:p>
        </w:tc>
        <w:tc>
          <w:tcPr>
            <w:tcW w:w="600" w:type="dxa"/>
            <w:vAlign w:val="bottom"/>
          </w:tcPr>
          <w:p>
            <w:pPr>
              <w:ind w:left="440"/>
              <w:spacing w:after="0" w:line="182" w:lineRule="exact"/>
              <w:rPr>
                <w:sz w:val="20"/>
                <w:szCs w:val="20"/>
                <w:color w:val="auto"/>
              </w:rPr>
            </w:pPr>
            <w:r>
              <w:rPr>
                <w:rFonts w:ascii="Times New Roman" w:cs="Times New Roman" w:eastAsia="Times New Roman" w:hAnsi="Times New Roman"/>
                <w:sz w:val="16"/>
                <w:szCs w:val="16"/>
                <w:color w:val="1E1E1E"/>
                <w:w w:val="87"/>
              </w:rPr>
              <w:t>73</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61,262,052</w:t>
            </w:r>
          </w:p>
        </w:tc>
        <w:tc>
          <w:tcPr>
            <w:tcW w:w="120" w:type="dxa"/>
            <w:vAlign w:val="bottom"/>
          </w:tcPr>
          <w:p>
            <w:pPr>
              <w:spacing w:after="0"/>
              <w:rPr>
                <w:sz w:val="15"/>
                <w:szCs w:val="15"/>
                <w:color w:val="auto"/>
              </w:rPr>
            </w:pPr>
          </w:p>
        </w:tc>
        <w:tc>
          <w:tcPr>
            <w:tcW w:w="880" w:type="dxa"/>
            <w:vAlign w:val="bottom"/>
            <w:gridSpan w:val="3"/>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349,342</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1E1E1E"/>
              </w:rPr>
              <w:t>592,509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(216,815)</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w w:val="99"/>
              </w:rPr>
              <w:t>Issuance of Class A Common Stock in IPO, net of costs of $11,394</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9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17,888,888</w:t>
            </w:r>
          </w:p>
        </w:tc>
        <w:tc>
          <w:tcPr>
            <w:tcW w:w="100" w:type="dxa"/>
            <w:vAlign w:val="bottom"/>
          </w:tcPr>
          <w:p>
            <w:pPr>
              <w:spacing w:after="0"/>
              <w:rPr>
                <w:sz w:val="2"/>
                <w:szCs w:val="2"/>
                <w:color w:val="auto"/>
              </w:rPr>
            </w:pPr>
          </w:p>
        </w:tc>
        <w:tc>
          <w:tcPr>
            <w:tcW w:w="600" w:type="dxa"/>
            <w:vAlign w:val="bottom"/>
            <w:vMerge w:val="restart"/>
          </w:tcPr>
          <w:p>
            <w:pPr>
              <w:ind w:left="440"/>
              <w:spacing w:after="0" w:line="182" w:lineRule="exact"/>
              <w:rPr>
                <w:sz w:val="20"/>
                <w:szCs w:val="20"/>
                <w:color w:val="auto"/>
              </w:rPr>
            </w:pPr>
            <w:r>
              <w:rPr>
                <w:rFonts w:ascii="Times New Roman" w:cs="Times New Roman" w:eastAsia="Times New Roman" w:hAnsi="Times New Roman"/>
                <w:sz w:val="16"/>
                <w:szCs w:val="16"/>
                <w:color w:val="1E1E1E"/>
                <w:w w:val="87"/>
              </w:rPr>
              <w:t>18</w:t>
            </w:r>
          </w:p>
        </w:tc>
        <w:tc>
          <w:tcPr>
            <w:tcW w:w="140" w:type="dxa"/>
            <w:vAlign w:val="bottom"/>
          </w:tcPr>
          <w:p>
            <w:pPr>
              <w:spacing w:after="0"/>
              <w:rPr>
                <w:sz w:val="2"/>
                <w:szCs w:val="2"/>
                <w:color w:val="auto"/>
              </w:rPr>
            </w:pPr>
          </w:p>
        </w:tc>
        <w:tc>
          <w:tcPr>
            <w:tcW w:w="100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
                <w:szCs w:val="2"/>
                <w:color w:val="auto"/>
              </w:rPr>
            </w:pPr>
          </w:p>
        </w:tc>
        <w:tc>
          <w:tcPr>
            <w:tcW w:w="880" w:type="dxa"/>
            <w:vAlign w:val="bottom"/>
            <w:gridSpan w:val="3"/>
            <w:vMerge w:val="restart"/>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441,400</w:t>
            </w:r>
          </w:p>
        </w:tc>
        <w:tc>
          <w:tcPr>
            <w:tcW w:w="160" w:type="dxa"/>
            <w:vAlign w:val="bottom"/>
          </w:tcPr>
          <w:p>
            <w:pPr>
              <w:spacing w:after="0"/>
              <w:rPr>
                <w:sz w:val="2"/>
                <w:szCs w:val="2"/>
                <w:color w:val="auto"/>
              </w:rPr>
            </w:pPr>
          </w:p>
        </w:tc>
        <w:tc>
          <w:tcPr>
            <w:tcW w:w="8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441,418</w:t>
            </w:r>
          </w:p>
        </w:tc>
        <w:tc>
          <w:tcPr>
            <w:tcW w:w="0" w:type="dxa"/>
            <w:vAlign w:val="bottom"/>
          </w:tcPr>
          <w:p>
            <w:pPr>
              <w:spacing w:after="0" w:line="20" w:lineRule="exact"/>
              <w:rPr>
                <w:sz w:val="1"/>
                <w:szCs w:val="1"/>
                <w:color w:val="auto"/>
              </w:rPr>
            </w:pPr>
          </w:p>
        </w:tc>
      </w:tr>
      <w:tr>
        <w:trPr>
          <w:trHeight w:val="162"/>
        </w:trPr>
        <w:tc>
          <w:tcPr>
            <w:tcW w:w="4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E4E4E4"/>
              <w:right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shd w:val="clear" w:color="auto" w:fill="E4E4E4"/>
          </w:tcPr>
          <w:p>
            <w:pPr>
              <w:spacing w:after="0"/>
              <w:rPr>
                <w:sz w:val="14"/>
                <w:szCs w:val="14"/>
                <w:color w:val="auto"/>
              </w:rPr>
            </w:pPr>
          </w:p>
        </w:tc>
        <w:tc>
          <w:tcPr>
            <w:tcW w:w="80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Repurchase of Definitive Healthcare Corp. shares in connection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with the IPO</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5"/>
                <w:szCs w:val="15"/>
                <w:color w:val="auto"/>
              </w:rPr>
            </w:pPr>
          </w:p>
        </w:tc>
        <w:tc>
          <w:tcPr>
            <w:tcW w:w="94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(2,497,288)</w:t>
            </w:r>
          </w:p>
        </w:tc>
        <w:tc>
          <w:tcPr>
            <w:tcW w:w="100" w:type="dxa"/>
            <w:vAlign w:val="bottom"/>
          </w:tcPr>
          <w:p>
            <w:pPr>
              <w:spacing w:after="0"/>
              <w:rPr>
                <w:sz w:val="15"/>
                <w:szCs w:val="15"/>
                <w:color w:val="auto"/>
              </w:rPr>
            </w:pPr>
          </w:p>
        </w:tc>
        <w:tc>
          <w:tcPr>
            <w:tcW w:w="740" w:type="dxa"/>
            <w:vAlign w:val="bottom"/>
            <w:gridSpan w:val="2"/>
          </w:tcPr>
          <w:p>
            <w:pPr>
              <w:ind w:left="480"/>
              <w:spacing w:after="0" w:line="182" w:lineRule="exact"/>
              <w:rPr>
                <w:sz w:val="20"/>
                <w:szCs w:val="20"/>
                <w:color w:val="auto"/>
              </w:rPr>
            </w:pPr>
            <w:r>
              <w:rPr>
                <w:rFonts w:ascii="Times New Roman" w:cs="Times New Roman" w:eastAsia="Times New Roman" w:hAnsi="Times New Roman"/>
                <w:sz w:val="16"/>
                <w:szCs w:val="16"/>
                <w:color w:val="1E1E1E"/>
              </w:rPr>
              <w:t>(3)</w:t>
            </w:r>
          </w:p>
        </w:tc>
        <w:tc>
          <w:tcPr>
            <w:tcW w:w="10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5"/>
                <w:szCs w:val="15"/>
                <w:color w:val="auto"/>
              </w:rPr>
            </w:pPr>
          </w:p>
        </w:tc>
        <w:tc>
          <w:tcPr>
            <w:tcW w:w="880" w:type="dxa"/>
            <w:vAlign w:val="bottom"/>
            <w:gridSpan w:val="3"/>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(63,209)</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(63,212)</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Repurchase of Definitive OpCo units in connection with IPO</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right"/>
              <w:ind w:right="1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2"/>
                <w:szCs w:val="2"/>
                <w:color w:val="auto"/>
              </w:rPr>
            </w:pPr>
          </w:p>
        </w:tc>
        <w:tc>
          <w:tcPr>
            <w:tcW w:w="9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2"/>
                <w:szCs w:val="2"/>
                <w:color w:val="auto"/>
              </w:rPr>
            </w:pPr>
          </w:p>
        </w:tc>
        <w:tc>
          <w:tcPr>
            <w:tcW w:w="740" w:type="dxa"/>
            <w:vAlign w:val="bottom"/>
            <w:gridSpan w:val="2"/>
            <w:vMerge w:val="restart"/>
          </w:tcPr>
          <w:p>
            <w:pPr>
              <w:ind w:left="4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(1,169,378)</w:t>
            </w:r>
          </w:p>
        </w:tc>
        <w:tc>
          <w:tcPr>
            <w:tcW w:w="120" w:type="dxa"/>
            <w:vAlign w:val="bottom"/>
          </w:tcPr>
          <w:p>
            <w:pPr>
              <w:spacing w:after="0"/>
              <w:rPr>
                <w:sz w:val="2"/>
                <w:szCs w:val="2"/>
                <w:color w:val="auto"/>
              </w:rPr>
            </w:pPr>
          </w:p>
        </w:tc>
        <w:tc>
          <w:tcPr>
            <w:tcW w:w="880" w:type="dxa"/>
            <w:vAlign w:val="bottom"/>
            <w:gridSpan w:val="3"/>
            <w:vMerge w:val="restart"/>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(29,600)</w:t>
            </w:r>
          </w:p>
        </w:tc>
        <w:tc>
          <w:tcPr>
            <w:tcW w:w="160" w:type="dxa"/>
            <w:vAlign w:val="bottom"/>
          </w:tcPr>
          <w:p>
            <w:pPr>
              <w:spacing w:after="0"/>
              <w:rPr>
                <w:sz w:val="2"/>
                <w:szCs w:val="2"/>
                <w:color w:val="auto"/>
              </w:rPr>
            </w:pPr>
          </w:p>
        </w:tc>
        <w:tc>
          <w:tcPr>
            <w:tcW w:w="8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(29,600)</w:t>
            </w:r>
          </w:p>
        </w:tc>
        <w:tc>
          <w:tcPr>
            <w:tcW w:w="0" w:type="dxa"/>
            <w:vAlign w:val="bottom"/>
          </w:tcPr>
          <w:p>
            <w:pPr>
              <w:spacing w:after="0" w:line="20" w:lineRule="exact"/>
              <w:rPr>
                <w:sz w:val="1"/>
                <w:szCs w:val="1"/>
                <w:color w:val="auto"/>
              </w:rPr>
            </w:pPr>
          </w:p>
        </w:tc>
      </w:tr>
      <w:tr>
        <w:trPr>
          <w:trHeight w:val="162"/>
        </w:trPr>
        <w:tc>
          <w:tcPr>
            <w:tcW w:w="4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E4E4E4"/>
              <w:right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shd w:val="clear" w:color="auto" w:fill="E4E4E4"/>
          </w:tcPr>
          <w:p>
            <w:pPr>
              <w:spacing w:after="0"/>
              <w:rPr>
                <w:sz w:val="14"/>
                <w:szCs w:val="14"/>
                <w:color w:val="auto"/>
              </w:rPr>
            </w:pPr>
          </w:p>
        </w:tc>
        <w:tc>
          <w:tcPr>
            <w:tcW w:w="80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1E1E1E"/>
              </w:rPr>
              <w:t>Post-IPO Activity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Net loss subsequent to Reorganization Transactions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9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2"/>
                <w:szCs w:val="2"/>
                <w:color w:val="auto"/>
              </w:rPr>
            </w:pPr>
          </w:p>
        </w:tc>
        <w:tc>
          <w:tcPr>
            <w:tcW w:w="740" w:type="dxa"/>
            <w:vAlign w:val="bottom"/>
            <w:gridSpan w:val="2"/>
            <w:vMerge w:val="restart"/>
          </w:tcPr>
          <w:p>
            <w:pPr>
              <w:ind w:left="4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
                <w:szCs w:val="2"/>
                <w:color w:val="auto"/>
              </w:rPr>
            </w:pPr>
          </w:p>
        </w:tc>
        <w:tc>
          <w:tcPr>
            <w:tcW w:w="880" w:type="dxa"/>
            <w:vAlign w:val="bottom"/>
            <w:gridSpan w:val="3"/>
            <w:vMerge w:val="restart"/>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Pr>
          <w:p>
            <w:pPr>
              <w:spacing w:after="0"/>
              <w:rPr>
                <w:sz w:val="2"/>
                <w:szCs w:val="2"/>
                <w:color w:val="auto"/>
              </w:rPr>
            </w:pPr>
          </w:p>
        </w:tc>
        <w:tc>
          <w:tcPr>
            <w:tcW w:w="84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(17,840)</w:t>
            </w:r>
          </w:p>
        </w:tc>
        <w:tc>
          <w:tcPr>
            <w:tcW w:w="140" w:type="dxa"/>
            <w:vAlign w:val="bottom"/>
          </w:tcPr>
          <w:p>
            <w:pPr>
              <w:spacing w:after="0"/>
              <w:rPr>
                <w:sz w:val="2"/>
                <w:szCs w:val="2"/>
                <w:color w:val="auto"/>
              </w:rPr>
            </w:pPr>
          </w:p>
        </w:tc>
        <w:tc>
          <w:tcPr>
            <w:tcW w:w="9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8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(10,416)</w:t>
            </w: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(28,256)</w:t>
            </w:r>
          </w:p>
        </w:tc>
        <w:tc>
          <w:tcPr>
            <w:tcW w:w="0" w:type="dxa"/>
            <w:vAlign w:val="bottom"/>
          </w:tcPr>
          <w:p>
            <w:pPr>
              <w:spacing w:after="0" w:line="20" w:lineRule="exact"/>
              <w:rPr>
                <w:sz w:val="1"/>
                <w:szCs w:val="1"/>
                <w:color w:val="auto"/>
              </w:rPr>
            </w:pPr>
          </w:p>
        </w:tc>
      </w:tr>
      <w:tr>
        <w:trPr>
          <w:trHeight w:val="148"/>
        </w:trPr>
        <w:tc>
          <w:tcPr>
            <w:tcW w:w="4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1160" w:type="dxa"/>
            <w:vAlign w:val="bottom"/>
            <w:gridSpan w:val="2"/>
            <w:shd w:val="clear" w:color="auto" w:fill="E4E4E4"/>
          </w:tcPr>
          <w:p>
            <w:pPr>
              <w:jc w:val="right"/>
              <w:ind w:right="1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Other comprehensive income subsequent to Reorganization</w:t>
            </w:r>
          </w:p>
        </w:tc>
        <w:tc>
          <w:tcPr>
            <w:tcW w:w="40" w:type="dxa"/>
            <w:vAlign w:val="bottom"/>
          </w:tcPr>
          <w:p>
            <w:pPr>
              <w:spacing w:after="0"/>
              <w:rPr>
                <w:sz w:val="2"/>
                <w:szCs w:val="2"/>
                <w:color w:val="auto"/>
              </w:rPr>
            </w:pPr>
          </w:p>
        </w:tc>
        <w:tc>
          <w:tcPr>
            <w:tcW w:w="80" w:type="dxa"/>
            <w:vAlign w:val="bottom"/>
            <w:tcBorders>
              <w:bottom w:val="single" w:sz="8" w:color="E4E4E4"/>
            </w:tcBorders>
            <w:shd w:val="clear" w:color="auto" w:fill="E4E4E4"/>
          </w:tcPr>
          <w:p>
            <w:pPr>
              <w:spacing w:after="0"/>
              <w:rPr>
                <w:sz w:val="2"/>
                <w:szCs w:val="2"/>
                <w:color w:val="auto"/>
              </w:rPr>
            </w:pPr>
          </w:p>
        </w:tc>
        <w:tc>
          <w:tcPr>
            <w:tcW w:w="1040" w:type="dxa"/>
            <w:vAlign w:val="bottom"/>
            <w:tcBorders>
              <w:bottom w:val="single" w:sz="8" w:color="E4E4E4"/>
            </w:tcBorders>
            <w:shd w:val="clear" w:color="auto" w:fill="E4E4E4"/>
          </w:tcPr>
          <w:p>
            <w:pPr>
              <w:spacing w:after="0"/>
              <w:rPr>
                <w:sz w:val="2"/>
                <w:szCs w:val="2"/>
                <w:color w:val="auto"/>
              </w:rPr>
            </w:pPr>
          </w:p>
        </w:tc>
        <w:tc>
          <w:tcPr>
            <w:tcW w:w="120" w:type="dxa"/>
            <w:vAlign w:val="bottom"/>
            <w:tcBorders>
              <w:bottom w:val="single" w:sz="8" w:color="E4E4E4"/>
            </w:tcBorders>
            <w:shd w:val="clear" w:color="auto" w:fill="E4E4E4"/>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1"/>
                <w:szCs w:val="11"/>
                <w:color w:val="auto"/>
              </w:rPr>
            </w:pPr>
          </w:p>
        </w:tc>
        <w:tc>
          <w:tcPr>
            <w:tcW w:w="8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51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51</w:t>
            </w:r>
          </w:p>
        </w:tc>
        <w:tc>
          <w:tcPr>
            <w:tcW w:w="0" w:type="dxa"/>
            <w:vAlign w:val="bottom"/>
          </w:tcPr>
          <w:p>
            <w:pPr>
              <w:spacing w:after="0"/>
              <w:rPr>
                <w:sz w:val="1"/>
                <w:szCs w:val="1"/>
                <w:color w:val="auto"/>
              </w:rPr>
            </w:pP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Transactions and IPO</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Equity-based compensation subsequent to Reorganization</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2"/>
                <w:szCs w:val="12"/>
                <w:color w:val="auto"/>
              </w:rPr>
            </w:pPr>
          </w:p>
        </w:tc>
        <w:tc>
          <w:tcPr>
            <w:tcW w:w="8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5,063</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40" w:type="dxa"/>
            <w:vAlign w:val="bottom"/>
            <w:tcBorders>
              <w:right w:val="single" w:sz="8" w:color="E4E4E4"/>
            </w:tcBorders>
            <w:gridSpan w:val="2"/>
            <w:vMerge w:val="restart"/>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2"/>
                <w:szCs w:val="12"/>
                <w:color w:val="auto"/>
              </w:rPr>
            </w:pPr>
          </w:p>
        </w:tc>
        <w:tc>
          <w:tcPr>
            <w:tcW w:w="80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3,151</w:t>
            </w:r>
          </w:p>
        </w:tc>
        <w:tc>
          <w:tcPr>
            <w:tcW w:w="20" w:type="dxa"/>
            <w:vAlign w:val="bottom"/>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60" w:type="dxa"/>
            <w:vAlign w:val="bottom"/>
            <w:tcBorders>
              <w:right w:val="single" w:sz="8" w:color="E4E4E4"/>
            </w:tcBorders>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800" w:type="dxa"/>
            <w:vAlign w:val="bottom"/>
            <w:gridSpan w:val="2"/>
            <w:vMerge w:val="restart"/>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8,214</w:t>
            </w:r>
          </w:p>
        </w:tc>
        <w:tc>
          <w:tcPr>
            <w:tcW w:w="0" w:type="dxa"/>
            <w:vAlign w:val="bottom"/>
          </w:tcPr>
          <w:p>
            <w:pPr>
              <w:spacing w:after="0"/>
              <w:rPr>
                <w:sz w:val="1"/>
                <w:szCs w:val="1"/>
                <w:color w:val="auto"/>
              </w:rPr>
            </w:pPr>
          </w:p>
        </w:tc>
      </w:tr>
      <w:tr>
        <w:trPr>
          <w:trHeight w:val="196"/>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Transactions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E4E4E4"/>
              <w:right w:val="single" w:sz="8" w:color="E4E4E4"/>
            </w:tcBorders>
            <w:gridSpan w:val="2"/>
            <w:vMerge w:val="continue"/>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vMerge w:val="continue"/>
            <w:shd w:val="clear" w:color="auto" w:fill="E4E4E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E4E4E4"/>
            </w:tcBorders>
            <w:shd w:val="clear" w:color="auto" w:fill="E4E4E4"/>
          </w:tcPr>
          <w:p>
            <w:pPr>
              <w:spacing w:after="0"/>
              <w:rPr>
                <w:sz w:val="17"/>
                <w:szCs w:val="17"/>
                <w:color w:val="auto"/>
              </w:rPr>
            </w:pPr>
          </w:p>
        </w:tc>
        <w:tc>
          <w:tcPr>
            <w:tcW w:w="60" w:type="dxa"/>
            <w:vAlign w:val="bottom"/>
            <w:tcBorders>
              <w:bottom w:val="single" w:sz="8" w:color="E4E4E4"/>
              <w:right w:val="single" w:sz="8" w:color="E4E4E4"/>
            </w:tcBorders>
            <w:shd w:val="clear" w:color="auto" w:fill="E4E4E4"/>
          </w:tcPr>
          <w:p>
            <w:pPr>
              <w:spacing w:after="0"/>
              <w:rPr>
                <w:sz w:val="17"/>
                <w:szCs w:val="17"/>
                <w:color w:val="auto"/>
              </w:rPr>
            </w:pPr>
          </w:p>
        </w:tc>
        <w:tc>
          <w:tcPr>
            <w:tcW w:w="10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gridSpan w:val="2"/>
            <w:vMerge w:val="continue"/>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Forfeited unvested incentive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2"/>
                <w:szCs w:val="12"/>
                <w:color w:val="auto"/>
              </w:rPr>
            </w:pPr>
          </w:p>
        </w:tc>
        <w:tc>
          <w:tcPr>
            <w:tcW w:w="740" w:type="dxa"/>
            <w:vAlign w:val="bottom"/>
            <w:gridSpan w:val="2"/>
          </w:tcPr>
          <w:p>
            <w:pPr>
              <w:ind w:left="4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6"/>
                <w:szCs w:val="16"/>
                <w:color w:val="1E1E1E"/>
              </w:rPr>
              <w:t>(81,285)</w:t>
            </w:r>
          </w:p>
        </w:tc>
        <w:tc>
          <w:tcPr>
            <w:tcW w:w="120" w:type="dxa"/>
            <w:vAlign w:val="bottom"/>
          </w:tcPr>
          <w:p>
            <w:pPr>
              <w:spacing w:after="0"/>
              <w:rPr>
                <w:sz w:val="12"/>
                <w:szCs w:val="12"/>
                <w:color w:val="auto"/>
              </w:rPr>
            </w:pPr>
          </w:p>
        </w:tc>
        <w:tc>
          <w:tcPr>
            <w:tcW w:w="880" w:type="dxa"/>
            <w:vAlign w:val="bottom"/>
            <w:gridSpan w:val="3"/>
          </w:tcPr>
          <w:p>
            <w:pPr>
              <w:ind w:left="50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Allocation of vested incentive units to noncontrolling interests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right"/>
              <w:ind w:right="1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2"/>
                <w:szCs w:val="2"/>
                <w:color w:val="auto"/>
              </w:rPr>
            </w:pPr>
          </w:p>
        </w:tc>
        <w:tc>
          <w:tcPr>
            <w:tcW w:w="9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2"/>
                <w:szCs w:val="2"/>
                <w:color w:val="auto"/>
              </w:rPr>
            </w:pPr>
          </w:p>
        </w:tc>
        <w:tc>
          <w:tcPr>
            <w:tcW w:w="740" w:type="dxa"/>
            <w:vAlign w:val="bottom"/>
            <w:gridSpan w:val="2"/>
            <w:vMerge w:val="restart"/>
          </w:tcPr>
          <w:p>
            <w:pPr>
              <w:ind w:left="4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
                <w:szCs w:val="2"/>
                <w:color w:val="auto"/>
              </w:rPr>
            </w:pPr>
          </w:p>
        </w:tc>
        <w:tc>
          <w:tcPr>
            <w:tcW w:w="880" w:type="dxa"/>
            <w:vAlign w:val="bottom"/>
            <w:gridSpan w:val="3"/>
            <w:vMerge w:val="restart"/>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(694)</w:t>
            </w:r>
          </w:p>
        </w:tc>
        <w:tc>
          <w:tcPr>
            <w:tcW w:w="160" w:type="dxa"/>
            <w:vAlign w:val="bottom"/>
          </w:tcPr>
          <w:p>
            <w:pPr>
              <w:spacing w:after="0"/>
              <w:rPr>
                <w:sz w:val="2"/>
                <w:szCs w:val="2"/>
                <w:color w:val="auto"/>
              </w:rPr>
            </w:pPr>
          </w:p>
        </w:tc>
        <w:tc>
          <w:tcPr>
            <w:tcW w:w="8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9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80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6"/>
                <w:szCs w:val="16"/>
                <w:color w:val="1E1E1E"/>
              </w:rPr>
              <w:t>694</w:t>
            </w: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Borders>
              <w:bottom w:val="single" w:sz="8" w:color="E4E4E4"/>
            </w:tcBorders>
            <w:shd w:val="clear" w:color="auto" w:fill="E4E4E4"/>
          </w:tcPr>
          <w:p>
            <w:pPr>
              <w:spacing w:after="0"/>
              <w:rPr>
                <w:sz w:val="14"/>
                <w:szCs w:val="14"/>
                <w:color w:val="auto"/>
              </w:rPr>
            </w:pPr>
          </w:p>
        </w:tc>
        <w:tc>
          <w:tcPr>
            <w:tcW w:w="60" w:type="dxa"/>
            <w:vAlign w:val="bottom"/>
            <w:tcBorders>
              <w:bottom w:val="single" w:sz="8" w:color="E4E4E4"/>
              <w:right w:val="single" w:sz="8" w:color="E4E4E4"/>
            </w:tcBorders>
            <w:shd w:val="clear" w:color="auto" w:fill="E4E4E4"/>
          </w:tcPr>
          <w:p>
            <w:pPr>
              <w:spacing w:after="0"/>
              <w:rPr>
                <w:sz w:val="14"/>
                <w:szCs w:val="14"/>
                <w:color w:val="auto"/>
              </w:rPr>
            </w:pPr>
          </w:p>
        </w:tc>
        <w:tc>
          <w:tcPr>
            <w:tcW w:w="100" w:type="dxa"/>
            <w:vAlign w:val="bottom"/>
            <w:tcBorders>
              <w:bottom w:val="single" w:sz="8" w:color="E4E4E4"/>
            </w:tcBorders>
            <w:shd w:val="clear" w:color="auto" w:fill="E4E4E4"/>
          </w:tcPr>
          <w:p>
            <w:pPr>
              <w:spacing w:after="0"/>
              <w:rPr>
                <w:sz w:val="14"/>
                <w:szCs w:val="14"/>
                <w:color w:val="auto"/>
              </w:rPr>
            </w:pPr>
          </w:p>
        </w:tc>
        <w:tc>
          <w:tcPr>
            <w:tcW w:w="66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shd w:val="clear" w:color="auto" w:fill="E4E4E4"/>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Issuance of Class A Common Stock in follow-on offering, net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c>
          <w:tcPr>
            <w:tcW w:w="1020" w:type="dxa"/>
            <w:vAlign w:val="bottom"/>
            <w:tcBorders>
              <w:left w:val="single" w:sz="8" w:color="auto"/>
            </w:tcBorders>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11,000,000</w:t>
            </w:r>
          </w:p>
        </w:tc>
        <w:tc>
          <w:tcPr>
            <w:tcW w:w="100" w:type="dxa"/>
            <w:vAlign w:val="bottom"/>
          </w:tcPr>
          <w:p>
            <w:pPr>
              <w:spacing w:after="0"/>
              <w:rPr>
                <w:sz w:val="12"/>
                <w:szCs w:val="12"/>
                <w:color w:val="auto"/>
              </w:rPr>
            </w:pP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1E1E1E"/>
                <w:w w:val="87"/>
              </w:rPr>
              <w:t>11</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2"/>
                <w:szCs w:val="12"/>
                <w:color w:val="auto"/>
              </w:rPr>
            </w:pPr>
          </w:p>
        </w:tc>
        <w:tc>
          <w:tcPr>
            <w:tcW w:w="8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380,515</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380,526</w:t>
            </w:r>
          </w:p>
        </w:tc>
        <w:tc>
          <w:tcPr>
            <w:tcW w:w="0" w:type="dxa"/>
            <w:vAlign w:val="bottom"/>
          </w:tcPr>
          <w:p>
            <w:pPr>
              <w:spacing w:after="0"/>
              <w:rPr>
                <w:sz w:val="1"/>
                <w:szCs w:val="1"/>
                <w:color w:val="auto"/>
              </w:rPr>
            </w:pP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costs of $1,614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20" w:type="dxa"/>
            <w:vAlign w:val="bottom"/>
            <w:tcBorders>
              <w:left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Repurchase of Definitive Healthcare Corp. shares in connection</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2"/>
                <w:szCs w:val="12"/>
                <w:color w:val="auto"/>
              </w:rPr>
            </w:pPr>
          </w:p>
        </w:tc>
        <w:tc>
          <w:tcPr>
            <w:tcW w:w="940" w:type="dxa"/>
            <w:vAlign w:val="bottom"/>
            <w:gridSpan w:val="2"/>
            <w:vMerge w:val="restart"/>
            <w:shd w:val="clear" w:color="auto" w:fill="E4E4E4"/>
          </w:tcPr>
          <w:p>
            <w:pPr>
              <w:jc w:val="right"/>
              <w:ind w:right="80"/>
              <w:spacing w:after="0"/>
              <w:rPr>
                <w:sz w:val="20"/>
                <w:szCs w:val="20"/>
                <w:color w:val="auto"/>
              </w:rPr>
            </w:pPr>
            <w:r>
              <w:rPr>
                <w:rFonts w:ascii="Times New Roman" w:cs="Times New Roman" w:eastAsia="Times New Roman" w:hAnsi="Times New Roman"/>
                <w:sz w:val="16"/>
                <w:szCs w:val="16"/>
                <w:color w:val="1E1E1E"/>
              </w:rPr>
              <w:t>(2,233,238)</w:t>
            </w:r>
          </w:p>
        </w:tc>
        <w:tc>
          <w:tcPr>
            <w:tcW w:w="100" w:type="dxa"/>
            <w:vAlign w:val="bottom"/>
            <w:shd w:val="clear" w:color="auto" w:fill="E4E4E4"/>
          </w:tcPr>
          <w:p>
            <w:pPr>
              <w:spacing w:after="0"/>
              <w:rPr>
                <w:sz w:val="12"/>
                <w:szCs w:val="12"/>
                <w:color w:val="auto"/>
              </w:rPr>
            </w:pPr>
          </w:p>
        </w:tc>
        <w:tc>
          <w:tcPr>
            <w:tcW w:w="740" w:type="dxa"/>
            <w:vAlign w:val="bottom"/>
            <w:gridSpan w:val="2"/>
            <w:vMerge w:val="restart"/>
            <w:shd w:val="clear" w:color="auto" w:fill="E4E4E4"/>
          </w:tcPr>
          <w:p>
            <w:pPr>
              <w:ind w:left="480"/>
              <w:spacing w:after="0"/>
              <w:rPr>
                <w:sz w:val="20"/>
                <w:szCs w:val="20"/>
                <w:color w:val="auto"/>
              </w:rPr>
            </w:pPr>
            <w:r>
              <w:rPr>
                <w:rFonts w:ascii="Times New Roman" w:cs="Times New Roman" w:eastAsia="Times New Roman" w:hAnsi="Times New Roman"/>
                <w:sz w:val="16"/>
                <w:szCs w:val="16"/>
                <w:color w:val="1E1E1E"/>
              </w:rPr>
              <w:t>(2)</w:t>
            </w:r>
          </w:p>
        </w:tc>
        <w:tc>
          <w:tcPr>
            <w:tcW w:w="1000" w:type="dxa"/>
            <w:vAlign w:val="bottom"/>
            <w:gridSpan w:val="2"/>
            <w:vMerge w:val="restart"/>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12"/>
                <w:szCs w:val="12"/>
                <w:color w:val="auto"/>
              </w:rPr>
            </w:pPr>
          </w:p>
        </w:tc>
        <w:tc>
          <w:tcPr>
            <w:tcW w:w="880" w:type="dxa"/>
            <w:vAlign w:val="bottom"/>
            <w:gridSpan w:val="3"/>
            <w:vMerge w:val="restart"/>
            <w:shd w:val="clear" w:color="auto" w:fill="E4E4E4"/>
          </w:tcPr>
          <w:p>
            <w:pPr>
              <w:ind w:left="500"/>
              <w:spacing w:after="0"/>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shd w:val="clear" w:color="auto" w:fill="E4E4E4"/>
          </w:tcPr>
          <w:p>
            <w:pPr>
              <w:jc w:val="right"/>
              <w:ind w:right="80"/>
              <w:spacing w:after="0"/>
              <w:rPr>
                <w:sz w:val="20"/>
                <w:szCs w:val="20"/>
                <w:color w:val="auto"/>
              </w:rPr>
            </w:pPr>
            <w:r>
              <w:rPr>
                <w:rFonts w:ascii="Times New Roman" w:cs="Times New Roman" w:eastAsia="Times New Roman" w:hAnsi="Times New Roman"/>
                <w:sz w:val="16"/>
                <w:szCs w:val="16"/>
                <w:color w:val="1E1E1E"/>
              </w:rPr>
              <w:t>(77,582)</w:t>
            </w:r>
          </w:p>
        </w:tc>
        <w:tc>
          <w:tcPr>
            <w:tcW w:w="160" w:type="dxa"/>
            <w:vAlign w:val="bottom"/>
            <w:shd w:val="clear" w:color="auto" w:fill="E4E4E4"/>
          </w:tcPr>
          <w:p>
            <w:pPr>
              <w:spacing w:after="0"/>
              <w:rPr>
                <w:sz w:val="12"/>
                <w:szCs w:val="12"/>
                <w:color w:val="auto"/>
              </w:rPr>
            </w:pPr>
          </w:p>
        </w:tc>
        <w:tc>
          <w:tcPr>
            <w:tcW w:w="840" w:type="dxa"/>
            <w:vAlign w:val="bottom"/>
            <w:tcBorders>
              <w:right w:val="single" w:sz="8" w:color="E4E4E4"/>
            </w:tcBorders>
            <w:gridSpan w:val="2"/>
            <w:vMerge w:val="restart"/>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2"/>
                <w:szCs w:val="12"/>
                <w:color w:val="auto"/>
              </w:rPr>
            </w:pPr>
          </w:p>
        </w:tc>
        <w:tc>
          <w:tcPr>
            <w:tcW w:w="940" w:type="dxa"/>
            <w:vAlign w:val="bottom"/>
            <w:tcBorders>
              <w:right w:val="single" w:sz="8" w:color="E4E4E4"/>
            </w:tcBorders>
            <w:gridSpan w:val="2"/>
            <w:vMerge w:val="restart"/>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2"/>
                <w:szCs w:val="12"/>
                <w:color w:val="auto"/>
              </w:rPr>
            </w:pPr>
          </w:p>
        </w:tc>
        <w:tc>
          <w:tcPr>
            <w:tcW w:w="800" w:type="dxa"/>
            <w:vAlign w:val="bottom"/>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60" w:type="dxa"/>
            <w:vAlign w:val="bottom"/>
            <w:tcBorders>
              <w:right w:val="single" w:sz="8" w:color="E4E4E4"/>
            </w:tcBorders>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800" w:type="dxa"/>
            <w:vAlign w:val="bottom"/>
            <w:gridSpan w:val="2"/>
            <w:vMerge w:val="restart"/>
            <w:shd w:val="clear" w:color="auto" w:fill="E4E4E4"/>
          </w:tcPr>
          <w:p>
            <w:pPr>
              <w:jc w:val="right"/>
              <w:ind w:right="80"/>
              <w:spacing w:after="0"/>
              <w:rPr>
                <w:sz w:val="20"/>
                <w:szCs w:val="20"/>
                <w:color w:val="auto"/>
              </w:rPr>
            </w:pPr>
            <w:r>
              <w:rPr>
                <w:rFonts w:ascii="Times New Roman" w:cs="Times New Roman" w:eastAsia="Times New Roman" w:hAnsi="Times New Roman"/>
                <w:sz w:val="16"/>
                <w:szCs w:val="16"/>
                <w:color w:val="1E1E1E"/>
              </w:rPr>
              <w:t>(77,584)</w:t>
            </w:r>
          </w:p>
        </w:tc>
        <w:tc>
          <w:tcPr>
            <w:tcW w:w="0" w:type="dxa"/>
            <w:vAlign w:val="bottom"/>
          </w:tcPr>
          <w:p>
            <w:pPr>
              <w:spacing w:after="0"/>
              <w:rPr>
                <w:sz w:val="1"/>
                <w:szCs w:val="1"/>
                <w:color w:val="auto"/>
              </w:rPr>
            </w:pPr>
          </w:p>
        </w:tc>
      </w:tr>
      <w:tr>
        <w:trPr>
          <w:trHeight w:val="196"/>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with the follow-on offering</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Borders>
              <w:left w:val="single" w:sz="8" w:color="auto"/>
            </w:tcBorders>
          </w:tcPr>
          <w:p>
            <w:pPr>
              <w:spacing w:after="0"/>
              <w:rPr>
                <w:sz w:val="17"/>
                <w:szCs w:val="17"/>
                <w:color w:val="auto"/>
              </w:rPr>
            </w:pPr>
          </w:p>
        </w:tc>
        <w:tc>
          <w:tcPr>
            <w:tcW w:w="940" w:type="dxa"/>
            <w:vAlign w:val="bottom"/>
            <w:tcBorders>
              <w:bottom w:val="single" w:sz="8" w:color="E4E4E4"/>
            </w:tcBorders>
            <w:gridSpan w:val="2"/>
            <w:vMerge w:val="continue"/>
            <w:shd w:val="clear" w:color="auto" w:fill="E4E4E4"/>
          </w:tcPr>
          <w:p>
            <w:pPr>
              <w:spacing w:after="0"/>
              <w:rPr>
                <w:sz w:val="17"/>
                <w:szCs w:val="17"/>
                <w:color w:val="auto"/>
              </w:rPr>
            </w:pPr>
          </w:p>
        </w:tc>
        <w:tc>
          <w:tcPr>
            <w:tcW w:w="100" w:type="dxa"/>
            <w:vAlign w:val="bottom"/>
            <w:tcBorders>
              <w:bottom w:val="single" w:sz="8" w:color="E4E4E4"/>
            </w:tcBorders>
            <w:shd w:val="clear" w:color="auto" w:fill="E4E4E4"/>
          </w:tcPr>
          <w:p>
            <w:pPr>
              <w:spacing w:after="0"/>
              <w:rPr>
                <w:sz w:val="17"/>
                <w:szCs w:val="17"/>
                <w:color w:val="auto"/>
              </w:rPr>
            </w:pPr>
          </w:p>
        </w:tc>
        <w:tc>
          <w:tcPr>
            <w:tcW w:w="740" w:type="dxa"/>
            <w:vAlign w:val="bottom"/>
            <w:tcBorders>
              <w:bottom w:val="single" w:sz="8" w:color="E4E4E4"/>
            </w:tcBorders>
            <w:gridSpan w:val="2"/>
            <w:vMerge w:val="continue"/>
            <w:shd w:val="clear" w:color="auto" w:fill="E4E4E4"/>
          </w:tcPr>
          <w:p>
            <w:pPr>
              <w:spacing w:after="0"/>
              <w:rPr>
                <w:sz w:val="17"/>
                <w:szCs w:val="17"/>
                <w:color w:val="auto"/>
              </w:rPr>
            </w:pPr>
          </w:p>
        </w:tc>
        <w:tc>
          <w:tcPr>
            <w:tcW w:w="1000" w:type="dxa"/>
            <w:vAlign w:val="bottom"/>
            <w:tcBorders>
              <w:bottom w:val="single" w:sz="8" w:color="E4E4E4"/>
            </w:tcBorders>
            <w:gridSpan w:val="2"/>
            <w:vMerge w:val="continue"/>
            <w:shd w:val="clear" w:color="auto" w:fill="E4E4E4"/>
          </w:tcPr>
          <w:p>
            <w:pPr>
              <w:spacing w:after="0"/>
              <w:rPr>
                <w:sz w:val="17"/>
                <w:szCs w:val="17"/>
                <w:color w:val="auto"/>
              </w:rPr>
            </w:pPr>
          </w:p>
        </w:tc>
        <w:tc>
          <w:tcPr>
            <w:tcW w:w="120" w:type="dxa"/>
            <w:vAlign w:val="bottom"/>
            <w:tcBorders>
              <w:bottom w:val="single" w:sz="8" w:color="E4E4E4"/>
            </w:tcBorders>
            <w:shd w:val="clear" w:color="auto" w:fill="E4E4E4"/>
          </w:tcPr>
          <w:p>
            <w:pPr>
              <w:spacing w:after="0"/>
              <w:rPr>
                <w:sz w:val="17"/>
                <w:szCs w:val="17"/>
                <w:color w:val="auto"/>
              </w:rPr>
            </w:pPr>
          </w:p>
        </w:tc>
        <w:tc>
          <w:tcPr>
            <w:tcW w:w="880" w:type="dxa"/>
            <w:vAlign w:val="bottom"/>
            <w:tcBorders>
              <w:bottom w:val="single" w:sz="8" w:color="E4E4E4"/>
            </w:tcBorders>
            <w:gridSpan w:val="3"/>
            <w:vMerge w:val="continue"/>
            <w:shd w:val="clear" w:color="auto" w:fill="E4E4E4"/>
          </w:tcPr>
          <w:p>
            <w:pPr>
              <w:spacing w:after="0"/>
              <w:rPr>
                <w:sz w:val="17"/>
                <w:szCs w:val="17"/>
                <w:color w:val="auto"/>
              </w:rPr>
            </w:pPr>
          </w:p>
        </w:tc>
        <w:tc>
          <w:tcPr>
            <w:tcW w:w="720" w:type="dxa"/>
            <w:vAlign w:val="bottom"/>
            <w:tcBorders>
              <w:bottom w:val="single" w:sz="8" w:color="E4E4E4"/>
            </w:tcBorders>
            <w:gridSpan w:val="2"/>
            <w:vMerge w:val="continue"/>
            <w:shd w:val="clear" w:color="auto" w:fill="E4E4E4"/>
          </w:tcPr>
          <w:p>
            <w:pPr>
              <w:spacing w:after="0"/>
              <w:rPr>
                <w:sz w:val="17"/>
                <w:szCs w:val="17"/>
                <w:color w:val="auto"/>
              </w:rPr>
            </w:pPr>
          </w:p>
        </w:tc>
        <w:tc>
          <w:tcPr>
            <w:tcW w:w="160" w:type="dxa"/>
            <w:vAlign w:val="bottom"/>
            <w:tcBorders>
              <w:bottom w:val="single" w:sz="8" w:color="E4E4E4"/>
            </w:tcBorders>
            <w:shd w:val="clear" w:color="auto" w:fill="E4E4E4"/>
          </w:tcPr>
          <w:p>
            <w:pPr>
              <w:spacing w:after="0"/>
              <w:rPr>
                <w:sz w:val="17"/>
                <w:szCs w:val="17"/>
                <w:color w:val="auto"/>
              </w:rPr>
            </w:pPr>
          </w:p>
        </w:tc>
        <w:tc>
          <w:tcPr>
            <w:tcW w:w="840" w:type="dxa"/>
            <w:vAlign w:val="bottom"/>
            <w:tcBorders>
              <w:bottom w:val="single" w:sz="8" w:color="E4E4E4"/>
              <w:right w:val="single" w:sz="8" w:color="E4E4E4"/>
            </w:tcBorders>
            <w:gridSpan w:val="2"/>
            <w:vMerge w:val="continue"/>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940" w:type="dxa"/>
            <w:vAlign w:val="bottom"/>
            <w:tcBorders>
              <w:bottom w:val="single" w:sz="8" w:color="E4E4E4"/>
              <w:right w:val="single" w:sz="8" w:color="E4E4E4"/>
            </w:tcBorders>
            <w:gridSpan w:val="2"/>
            <w:vMerge w:val="continue"/>
            <w:shd w:val="clear" w:color="auto" w:fill="E4E4E4"/>
          </w:tcPr>
          <w:p>
            <w:pPr>
              <w:spacing w:after="0"/>
              <w:rPr>
                <w:sz w:val="17"/>
                <w:szCs w:val="17"/>
                <w:color w:val="auto"/>
              </w:rPr>
            </w:pPr>
          </w:p>
        </w:tc>
        <w:tc>
          <w:tcPr>
            <w:tcW w:w="14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vMerge w:val="continue"/>
            <w:shd w:val="clear" w:color="auto" w:fill="E4E4E4"/>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E4E4E4"/>
            </w:tcBorders>
            <w:shd w:val="clear" w:color="auto" w:fill="E4E4E4"/>
          </w:tcPr>
          <w:p>
            <w:pPr>
              <w:spacing w:after="0"/>
              <w:rPr>
                <w:sz w:val="17"/>
                <w:szCs w:val="17"/>
                <w:color w:val="auto"/>
              </w:rPr>
            </w:pPr>
          </w:p>
        </w:tc>
        <w:tc>
          <w:tcPr>
            <w:tcW w:w="60" w:type="dxa"/>
            <w:vAlign w:val="bottom"/>
            <w:tcBorders>
              <w:bottom w:val="single" w:sz="8" w:color="E4E4E4"/>
              <w:right w:val="single" w:sz="8" w:color="E4E4E4"/>
            </w:tcBorders>
            <w:shd w:val="clear" w:color="auto" w:fill="E4E4E4"/>
          </w:tcPr>
          <w:p>
            <w:pPr>
              <w:spacing w:after="0"/>
              <w:rPr>
                <w:sz w:val="17"/>
                <w:szCs w:val="17"/>
                <w:color w:val="auto"/>
              </w:rPr>
            </w:pPr>
          </w:p>
        </w:tc>
        <w:tc>
          <w:tcPr>
            <w:tcW w:w="100" w:type="dxa"/>
            <w:vAlign w:val="bottom"/>
            <w:tcBorders>
              <w:bottom w:val="single" w:sz="8" w:color="E4E4E4"/>
            </w:tcBorders>
            <w:shd w:val="clear" w:color="auto" w:fill="E4E4E4"/>
          </w:tcPr>
          <w:p>
            <w:pPr>
              <w:spacing w:after="0"/>
              <w:rPr>
                <w:sz w:val="17"/>
                <w:szCs w:val="17"/>
                <w:color w:val="auto"/>
              </w:rPr>
            </w:pPr>
          </w:p>
        </w:tc>
        <w:tc>
          <w:tcPr>
            <w:tcW w:w="800" w:type="dxa"/>
            <w:vAlign w:val="bottom"/>
            <w:tcBorders>
              <w:bottom w:val="single" w:sz="8" w:color="E4E4E4"/>
            </w:tcBorders>
            <w:gridSpan w:val="2"/>
            <w:vMerge w:val="continue"/>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w w:val="99"/>
              </w:rPr>
              <w:t>Repurchase of Definitive OpCo units in connection with follow-on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1E1E1E"/>
              </w:rPr>
              <w:t>(1,766,762)</w:t>
            </w:r>
          </w:p>
        </w:tc>
        <w:tc>
          <w:tcPr>
            <w:tcW w:w="120" w:type="dxa"/>
            <w:vAlign w:val="bottom"/>
          </w:tcPr>
          <w:p>
            <w:pPr>
              <w:spacing w:after="0"/>
              <w:rPr>
                <w:sz w:val="12"/>
                <w:szCs w:val="12"/>
                <w:color w:val="auto"/>
              </w:rPr>
            </w:pPr>
          </w:p>
        </w:tc>
        <w:tc>
          <w:tcPr>
            <w:tcW w:w="8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1E1E1E"/>
              </w:rPr>
              <w:t>(61,376)</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2"/>
                <w:szCs w:val="12"/>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1E1E1E"/>
              </w:rPr>
              <w:t>(61,376)</w:t>
            </w:r>
          </w:p>
        </w:tc>
        <w:tc>
          <w:tcPr>
            <w:tcW w:w="0" w:type="dxa"/>
            <w:vAlign w:val="bottom"/>
          </w:tcPr>
          <w:p>
            <w:pPr>
              <w:spacing w:after="0"/>
              <w:rPr>
                <w:sz w:val="1"/>
                <w:szCs w:val="1"/>
                <w:color w:val="auto"/>
              </w:rPr>
            </w:pP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offering</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1E1E1E"/>
              </w:rPr>
              <w:t>Effect of follow-on offering on tax receivable agreements liability</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right"/>
              <w:ind w:right="1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2"/>
                <w:szCs w:val="2"/>
                <w:color w:val="auto"/>
              </w:rPr>
            </w:pPr>
          </w:p>
        </w:tc>
        <w:tc>
          <w:tcPr>
            <w:tcW w:w="9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2"/>
                <w:szCs w:val="2"/>
                <w:color w:val="auto"/>
              </w:rPr>
            </w:pPr>
          </w:p>
        </w:tc>
        <w:tc>
          <w:tcPr>
            <w:tcW w:w="740" w:type="dxa"/>
            <w:vAlign w:val="bottom"/>
            <w:gridSpan w:val="2"/>
            <w:vMerge w:val="restart"/>
          </w:tcPr>
          <w:p>
            <w:pPr>
              <w:ind w:left="4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2"/>
                <w:szCs w:val="2"/>
                <w:color w:val="auto"/>
              </w:rPr>
            </w:pPr>
          </w:p>
        </w:tc>
        <w:tc>
          <w:tcPr>
            <w:tcW w:w="880" w:type="dxa"/>
            <w:vAlign w:val="bottom"/>
            <w:gridSpan w:val="3"/>
            <w:vMerge w:val="restart"/>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(11,291)</w:t>
            </w:r>
          </w:p>
        </w:tc>
        <w:tc>
          <w:tcPr>
            <w:tcW w:w="160" w:type="dxa"/>
            <w:vAlign w:val="bottom"/>
          </w:tcPr>
          <w:p>
            <w:pPr>
              <w:spacing w:after="0"/>
              <w:rPr>
                <w:sz w:val="2"/>
                <w:szCs w:val="2"/>
                <w:color w:val="auto"/>
              </w:rPr>
            </w:pPr>
          </w:p>
        </w:tc>
        <w:tc>
          <w:tcPr>
            <w:tcW w:w="840" w:type="dxa"/>
            <w:vAlign w:val="bottom"/>
            <w:gridSpan w:val="2"/>
            <w:vMerge w:val="restart"/>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(11,291)</w:t>
            </w:r>
          </w:p>
        </w:tc>
        <w:tc>
          <w:tcPr>
            <w:tcW w:w="0" w:type="dxa"/>
            <w:vAlign w:val="bottom"/>
          </w:tcPr>
          <w:p>
            <w:pPr>
              <w:spacing w:after="0" w:line="20" w:lineRule="exact"/>
              <w:rPr>
                <w:sz w:val="1"/>
                <w:szCs w:val="1"/>
                <w:color w:val="auto"/>
              </w:rPr>
            </w:pPr>
          </w:p>
        </w:tc>
      </w:tr>
      <w:tr>
        <w:trPr>
          <w:trHeight w:val="162"/>
        </w:trPr>
        <w:tc>
          <w:tcPr>
            <w:tcW w:w="4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E4E4E4"/>
              <w:right w:val="single" w:sz="8" w:color="E4E4E4"/>
            </w:tcBorders>
            <w:gridSpan w:val="2"/>
            <w:shd w:val="clear" w:color="auto" w:fill="E4E4E4"/>
          </w:tcPr>
          <w:p>
            <w:pPr>
              <w:jc w:val="right"/>
              <w:ind w:right="140"/>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bottom w:val="single" w:sz="8" w:color="E4E4E4"/>
            </w:tcBorders>
            <w:shd w:val="clear" w:color="auto" w:fill="E4E4E4"/>
          </w:tcPr>
          <w:p>
            <w:pPr>
              <w:spacing w:after="0"/>
              <w:rPr>
                <w:sz w:val="14"/>
                <w:szCs w:val="14"/>
                <w:color w:val="auto"/>
              </w:rPr>
            </w:pPr>
          </w:p>
        </w:tc>
        <w:tc>
          <w:tcPr>
            <w:tcW w:w="800" w:type="dxa"/>
            <w:vAlign w:val="bottom"/>
            <w:tcBorders>
              <w:bottom w:val="single" w:sz="8" w:color="E4E4E4"/>
            </w:tcBorders>
            <w:shd w:val="clear" w:color="auto" w:fill="E4E4E4"/>
          </w:tcPr>
          <w:p>
            <w:pPr>
              <w:jc w:val="right"/>
              <w:spacing w:after="0" w:line="148" w:lineRule="exact"/>
              <w:rPr>
                <w:sz w:val="20"/>
                <w:szCs w:val="20"/>
                <w:color w:val="auto"/>
              </w:rPr>
            </w:pPr>
            <w:r>
              <w:rPr>
                <w:rFonts w:ascii="Times New Roman" w:cs="Times New Roman" w:eastAsia="Times New Roman" w:hAnsi="Times New Roman"/>
                <w:sz w:val="16"/>
                <w:szCs w:val="16"/>
                <w:color w:val="1E1E1E"/>
              </w:rPr>
              <w:t>—</w:t>
            </w: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6"/>
                <w:szCs w:val="16"/>
                <w:color w:val="1E1E1E"/>
              </w:rPr>
              <w:t>Effect of follow-on offering and repurchase on noncontrolling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1E1E1E"/>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5"/>
                <w:szCs w:val="15"/>
                <w:color w:val="auto"/>
              </w:rPr>
            </w:pPr>
          </w:p>
        </w:tc>
        <w:tc>
          <w:tcPr>
            <w:tcW w:w="7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5"/>
                <w:szCs w:val="15"/>
                <w:color w:val="auto"/>
              </w:rPr>
            </w:pPr>
          </w:p>
        </w:tc>
        <w:tc>
          <w:tcPr>
            <w:tcW w:w="880" w:type="dxa"/>
            <w:vAlign w:val="bottom"/>
            <w:gridSpan w:val="3"/>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6"/>
                <w:szCs w:val="16"/>
                <w:color w:val="1E1E1E"/>
              </w:rPr>
              <w:t>(43,576)</w:t>
            </w:r>
          </w:p>
        </w:tc>
        <w:tc>
          <w:tcPr>
            <w:tcW w:w="160" w:type="dxa"/>
            <w:vAlign w:val="bottom"/>
          </w:tcPr>
          <w:p>
            <w:pPr>
              <w:spacing w:after="0"/>
              <w:rPr>
                <w:sz w:val="15"/>
                <w:szCs w:val="15"/>
                <w:color w:val="auto"/>
              </w:rPr>
            </w:pPr>
          </w:p>
        </w:tc>
        <w:tc>
          <w:tcPr>
            <w:tcW w:w="8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15"/>
                <w:szCs w:val="15"/>
                <w:color w:val="auto"/>
              </w:rPr>
            </w:pPr>
          </w:p>
        </w:tc>
        <w:tc>
          <w:tcPr>
            <w:tcW w:w="900" w:type="dxa"/>
            <w:vAlign w:val="bottom"/>
            <w:gridSpan w:val="3"/>
          </w:tcPr>
          <w:p>
            <w:pPr>
              <w:jc w:val="right"/>
              <w:ind w:right="100"/>
              <w:spacing w:after="0" w:line="182" w:lineRule="exact"/>
              <w:rPr>
                <w:sz w:val="20"/>
                <w:szCs w:val="20"/>
                <w:color w:val="auto"/>
              </w:rPr>
            </w:pPr>
            <w:r>
              <w:rPr>
                <w:rFonts w:ascii="Times New Roman" w:cs="Times New Roman" w:eastAsia="Times New Roman" w:hAnsi="Times New Roman"/>
                <w:sz w:val="16"/>
                <w:szCs w:val="16"/>
                <w:color w:val="1E1E1E"/>
              </w:rPr>
              <w:t>43,576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34"/>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color w:val="1E1E1E"/>
              </w:rPr>
              <w:t>Distributions to noncontrolling interests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left w:val="single" w:sz="8" w:color="auto"/>
            </w:tcBorders>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tcPr>
          <w:p>
            <w:pPr>
              <w:spacing w:after="0"/>
              <w:rPr>
                <w:sz w:val="2"/>
                <w:szCs w:val="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(989)</w:t>
            </w: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1E1E1E"/>
              </w:rPr>
              <w:t>(989)</w:t>
            </w:r>
          </w:p>
        </w:tc>
        <w:tc>
          <w:tcPr>
            <w:tcW w:w="0" w:type="dxa"/>
            <w:vAlign w:val="bottom"/>
          </w:tcPr>
          <w:p>
            <w:pPr>
              <w:spacing w:after="0" w:line="20" w:lineRule="exact"/>
              <w:rPr>
                <w:sz w:val="1"/>
                <w:szCs w:val="1"/>
                <w:color w:val="auto"/>
              </w:rPr>
            </w:pPr>
          </w:p>
        </w:tc>
      </w:tr>
      <w:tr>
        <w:trPr>
          <w:trHeight w:val="182"/>
        </w:trPr>
        <w:tc>
          <w:tcPr>
            <w:tcW w:w="4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940" w:type="dxa"/>
            <w:vAlign w:val="bottom"/>
            <w:gridSpan w:val="2"/>
            <w:shd w:val="clear" w:color="auto" w:fill="E4E4E4"/>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5"/>
                <w:szCs w:val="15"/>
                <w:color w:val="auto"/>
              </w:rPr>
            </w:pPr>
          </w:p>
        </w:tc>
        <w:tc>
          <w:tcPr>
            <w:tcW w:w="740" w:type="dxa"/>
            <w:vAlign w:val="bottom"/>
            <w:gridSpan w:val="2"/>
            <w:shd w:val="clear" w:color="auto" w:fill="E4E4E4"/>
          </w:tcPr>
          <w:p>
            <w:pPr>
              <w:ind w:left="4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000" w:type="dxa"/>
            <w:vAlign w:val="bottom"/>
            <w:gridSpan w:val="2"/>
            <w:shd w:val="clear" w:color="auto" w:fill="E4E4E4"/>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4E4E4"/>
          </w:tcPr>
          <w:p>
            <w:pPr>
              <w:spacing w:after="0"/>
              <w:rPr>
                <w:sz w:val="15"/>
                <w:szCs w:val="15"/>
                <w:color w:val="auto"/>
              </w:rPr>
            </w:pPr>
          </w:p>
        </w:tc>
        <w:tc>
          <w:tcPr>
            <w:tcW w:w="880" w:type="dxa"/>
            <w:vAlign w:val="bottom"/>
            <w:gridSpan w:val="3"/>
            <w:shd w:val="clear" w:color="auto" w:fill="E4E4E4"/>
          </w:tcPr>
          <w:p>
            <w:pPr>
              <w:ind w:left="5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gridSpan w:val="2"/>
            <w:shd w:val="clear" w:color="auto" w:fill="E4E4E4"/>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60" w:type="dxa"/>
            <w:vAlign w:val="bottom"/>
            <w:shd w:val="clear" w:color="auto" w:fill="E4E4E4"/>
          </w:tcPr>
          <w:p>
            <w:pPr>
              <w:spacing w:after="0"/>
              <w:rPr>
                <w:sz w:val="15"/>
                <w:szCs w:val="15"/>
                <w:color w:val="auto"/>
              </w:rPr>
            </w:pPr>
          </w:p>
        </w:tc>
        <w:tc>
          <w:tcPr>
            <w:tcW w:w="840" w:type="dxa"/>
            <w:vAlign w:val="bottom"/>
            <w:tcBorders>
              <w:right w:val="single" w:sz="8" w:color="E4E4E4"/>
            </w:tcBorders>
            <w:gridSpan w:val="2"/>
            <w:shd w:val="clear" w:color="auto" w:fill="E4E4E4"/>
          </w:tcPr>
          <w:p>
            <w:pPr>
              <w:jc w:val="right"/>
              <w:ind w:righ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4E4E4"/>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1E1E1E"/>
              </w:rPr>
              <w:t>Balance at December 31, 2021</w:t>
            </w:r>
          </w:p>
        </w:tc>
        <w:tc>
          <w:tcPr>
            <w:tcW w:w="40" w:type="dxa"/>
            <w:vAlign w:val="bottom"/>
          </w:tcPr>
          <w:p>
            <w:pPr>
              <w:spacing w:after="0"/>
              <w:rPr>
                <w:sz w:val="16"/>
                <w:szCs w:val="16"/>
                <w:color w:val="auto"/>
              </w:rPr>
            </w:pPr>
          </w:p>
        </w:tc>
        <w:tc>
          <w:tcPr>
            <w:tcW w:w="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tcPr>
          <w:p>
            <w:pPr>
              <w:spacing w:after="0"/>
              <w:rPr>
                <w:sz w:val="16"/>
                <w:szCs w:val="16"/>
                <w:color w:val="auto"/>
              </w:rPr>
            </w:pPr>
          </w:p>
        </w:tc>
        <w:tc>
          <w:tcPr>
            <w:tcW w:w="80" w:type="dxa"/>
            <w:vAlign w:val="bottom"/>
            <w:tcBorders>
              <w:left w:val="single" w:sz="8" w:color="auto"/>
              <w:bottom w:val="single" w:sz="8" w:color="1E1E1E"/>
            </w:tcBorders>
          </w:tcPr>
          <w:p>
            <w:pPr>
              <w:spacing w:after="0"/>
              <w:rPr>
                <w:sz w:val="16"/>
                <w:szCs w:val="16"/>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97,030,095</w:t>
            </w:r>
          </w:p>
        </w:tc>
        <w:tc>
          <w:tcPr>
            <w:tcW w:w="140" w:type="dxa"/>
            <w:vAlign w:val="bottom"/>
          </w:tcPr>
          <w:p>
            <w:pPr>
              <w:spacing w:after="0"/>
              <w:rPr>
                <w:sz w:val="16"/>
                <w:szCs w:val="16"/>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600" w:type="dxa"/>
            <w:vAlign w:val="bottom"/>
            <w:tcBorders>
              <w:bottom w:val="single" w:sz="8" w:color="1E1E1E"/>
            </w:tcBorders>
          </w:tcPr>
          <w:p>
            <w:pPr>
              <w:ind w:left="440"/>
              <w:spacing w:after="0"/>
              <w:rPr>
                <w:sz w:val="20"/>
                <w:szCs w:val="20"/>
                <w:color w:val="auto"/>
              </w:rPr>
            </w:pPr>
            <w:r>
              <w:rPr>
                <w:rFonts w:ascii="Times New Roman" w:cs="Times New Roman" w:eastAsia="Times New Roman" w:hAnsi="Times New Roman"/>
                <w:sz w:val="16"/>
                <w:szCs w:val="16"/>
                <w:color w:val="1E1E1E"/>
                <w:w w:val="87"/>
              </w:rPr>
              <w:t>97</w:t>
            </w:r>
          </w:p>
        </w:tc>
        <w:tc>
          <w:tcPr>
            <w:tcW w:w="140" w:type="dxa"/>
            <w:vAlign w:val="bottom"/>
          </w:tcPr>
          <w:p>
            <w:pPr>
              <w:spacing w:after="0"/>
              <w:rPr>
                <w:sz w:val="16"/>
                <w:szCs w:val="16"/>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58,244,627</w:t>
            </w:r>
          </w:p>
        </w:tc>
        <w:tc>
          <w:tcPr>
            <w:tcW w:w="140" w:type="dxa"/>
            <w:vAlign w:val="bottom"/>
          </w:tcPr>
          <w:p>
            <w:pPr>
              <w:spacing w:after="0"/>
              <w:rPr>
                <w:sz w:val="16"/>
                <w:szCs w:val="16"/>
                <w:color w:val="auto"/>
              </w:rPr>
            </w:pPr>
          </w:p>
        </w:tc>
        <w:tc>
          <w:tcPr>
            <w:tcW w:w="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640" w:type="dxa"/>
            <w:vAlign w:val="bottom"/>
            <w:tcBorders>
              <w:bottom w:val="single" w:sz="8" w:color="1E1E1E"/>
            </w:tcBorders>
          </w:tcPr>
          <w:p>
            <w:pPr>
              <w:ind w:left="500"/>
              <w:spacing w:after="0"/>
              <w:rPr>
                <w:sz w:val="20"/>
                <w:szCs w:val="20"/>
                <w:color w:val="auto"/>
              </w:rPr>
            </w:pPr>
            <w:r>
              <w:rPr>
                <w:rFonts w:ascii="Times New Roman" w:cs="Times New Roman" w:eastAsia="Times New Roman" w:hAnsi="Times New Roman"/>
                <w:sz w:val="16"/>
                <w:szCs w:val="16"/>
                <w:color w:val="1E1E1E"/>
                <w:w w:val="74"/>
              </w:rPr>
              <w:t>—</w:t>
            </w:r>
          </w:p>
        </w:tc>
        <w:tc>
          <w:tcPr>
            <w:tcW w:w="140" w:type="dxa"/>
            <w:vAlign w:val="bottom"/>
          </w:tcPr>
          <w:p>
            <w:pPr>
              <w:spacing w:after="0"/>
              <w:rPr>
                <w:sz w:val="16"/>
                <w:szCs w:val="16"/>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5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888,992</w:t>
            </w:r>
          </w:p>
        </w:tc>
        <w:tc>
          <w:tcPr>
            <w:tcW w:w="140" w:type="dxa"/>
            <w:vAlign w:val="bottom"/>
          </w:tcPr>
          <w:p>
            <w:pPr>
              <w:spacing w:after="0"/>
              <w:rPr>
                <w:sz w:val="16"/>
                <w:szCs w:val="16"/>
                <w:color w:val="auto"/>
              </w:rPr>
            </w:pPr>
          </w:p>
        </w:tc>
        <w:tc>
          <w:tcPr>
            <w:tcW w:w="160" w:type="dxa"/>
            <w:vAlign w:val="bottom"/>
            <w:tcBorders>
              <w:bottom w:val="single" w:sz="8" w:color="1E1E1E"/>
            </w:tcBorders>
          </w:tcPr>
          <w:p>
            <w:pPr>
              <w:jc w:val="right"/>
              <w:ind w:right="4"/>
              <w:spacing w:after="0"/>
              <w:rPr>
                <w:sz w:val="20"/>
                <w:szCs w:val="20"/>
                <w:color w:val="auto"/>
              </w:rPr>
            </w:pPr>
            <w:r>
              <w:rPr>
                <w:rFonts w:ascii="Times New Roman" w:cs="Times New Roman" w:eastAsia="Times New Roman" w:hAnsi="Times New Roman"/>
                <w:sz w:val="16"/>
                <w:szCs w:val="16"/>
                <w:color w:val="1E1E1E"/>
                <w:w w:val="74"/>
              </w:rPr>
              <w:t>$</w:t>
            </w: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(17,840)</w:t>
            </w:r>
          </w:p>
        </w:tc>
        <w:tc>
          <w:tcPr>
            <w:tcW w:w="140" w:type="dxa"/>
            <w:vAlign w:val="bottom"/>
          </w:tcPr>
          <w:p>
            <w:pPr>
              <w:spacing w:after="0"/>
              <w:rPr>
                <w:sz w:val="16"/>
                <w:szCs w:val="16"/>
                <w:color w:val="auto"/>
              </w:rPr>
            </w:pP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62</w:t>
            </w:r>
          </w:p>
        </w:tc>
        <w:tc>
          <w:tcPr>
            <w:tcW w:w="140" w:type="dxa"/>
            <w:vAlign w:val="bottom"/>
          </w:tcPr>
          <w:p>
            <w:pPr>
              <w:spacing w:after="0"/>
              <w:rPr>
                <w:sz w:val="16"/>
                <w:szCs w:val="16"/>
                <w:color w:val="auto"/>
              </w:rPr>
            </w:pPr>
          </w:p>
        </w:tc>
        <w:tc>
          <w:tcPr>
            <w:tcW w:w="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rPr>
              <w:t>628,525</w:t>
            </w:r>
          </w:p>
        </w:tc>
        <w:tc>
          <w:tcPr>
            <w:tcW w:w="20" w:type="dxa"/>
            <w:vAlign w:val="bottom"/>
            <w:tcBorders>
              <w:bottom w:val="single" w:sz="8" w:color="1E1E1E"/>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6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color w:val="1E1E1E"/>
                <w:w w:val="99"/>
              </w:rPr>
              <w:t>1,499,836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-3837940</wp:posOffset>
            </wp:positionV>
            <wp:extent cx="9052560" cy="3713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52560" cy="3713480"/>
                    </a:xfrm>
                    <a:prstGeom prst="rect">
                      <a:avLst/>
                    </a:prstGeom>
                    <a:noFill/>
                  </pic:spPr>
                </pic:pic>
              </a:graphicData>
            </a:graphic>
          </wp:anchor>
        </w:drawing>
      </w:r>
    </w:p>
    <w:p>
      <w:pPr>
        <w:spacing w:after="0" w:line="1" w:lineRule="exact"/>
        <w:rPr>
          <w:sz w:val="20"/>
          <w:szCs w:val="20"/>
          <w:color w:val="auto"/>
        </w:rPr>
      </w:pPr>
    </w:p>
    <w:p>
      <w:pPr>
        <w:sectPr>
          <w:pgSz w:w="15480" w:h="11880" w:orient="landscape"/>
          <w:cols w:equalWidth="0" w:num="2">
            <w:col w:w="230" w:space="150"/>
            <w:col w:w="14240"/>
          </w:cols>
          <w:pgMar w:left="560" w:top="726" w:right="300" w:bottom="1440" w:gutter="0" w:footer="0" w:header="0"/>
        </w:sectPr>
      </w:pPr>
    </w:p>
    <w:p>
      <w:pPr>
        <w:jc w:val="center"/>
        <w:ind w:left="640"/>
        <w:spacing w:after="0" w:line="235" w:lineRule="auto"/>
        <w:rPr>
          <w:sz w:val="20"/>
          <w:szCs w:val="20"/>
          <w:color w:val="auto"/>
        </w:rPr>
      </w:pPr>
      <w:r>
        <w:rPr>
          <w:rFonts w:ascii="Times New Roman" w:cs="Times New Roman" w:eastAsia="Times New Roman" w:hAnsi="Times New Roman"/>
          <w:sz w:val="19"/>
          <w:szCs w:val="19"/>
          <w:color w:val="1E1E1E"/>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-125730</wp:posOffset>
            </wp:positionV>
            <wp:extent cx="620839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08395" cy="9525"/>
                    </a:xfrm>
                    <a:prstGeom prst="rect">
                      <a:avLst/>
                    </a:prstGeom>
                    <a:noFill/>
                  </pic:spPr>
                </pic:pic>
              </a:graphicData>
            </a:graphic>
          </wp:anchor>
        </w:drawing>
      </w:r>
    </w:p>
    <w:p>
      <w:pPr>
        <w:sectPr>
          <w:pgSz w:w="15480" w:h="11880" w:orient="landscape"/>
          <w:cols w:equalWidth="0" w:num="1">
            <w:col w:w="14620"/>
          </w:cols>
          <w:pgMar w:left="560" w:top="726" w:right="300"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1E1E1E"/>
        </w:rPr>
        <w:t>DEFINITIVE HEALTHCARE CORP.</w:t>
      </w: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E1E1E"/>
        </w:rPr>
        <w:t>(amounts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0" w:type="dxa"/>
            <w:vAlign w:val="bottom"/>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3040" w:type="dxa"/>
            <w:vAlign w:val="bottom"/>
            <w:tcBorders>
              <w:bottom w:val="single" w:sz="8" w:color="1E1E1E"/>
            </w:tcBorders>
            <w:gridSpan w:val="6"/>
          </w:tcPr>
          <w:p>
            <w:pPr>
              <w:jc w:val="right"/>
              <w:ind w:right="195"/>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8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400" w:type="dxa"/>
            <w:vAlign w:val="bottom"/>
            <w:tcBorders>
              <w:bottom w:val="single" w:sz="8" w:color="E4E4E4"/>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260" w:type="dxa"/>
            <w:vAlign w:val="bottom"/>
            <w:tcBorders>
              <w:bottom w:val="single" w:sz="8" w:color="E4E4E4"/>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7"/>
                <w:szCs w:val="17"/>
                <w:color w:val="auto"/>
              </w:rPr>
            </w:pPr>
          </w:p>
        </w:tc>
      </w:tr>
      <w:tr>
        <w:trPr>
          <w:trHeight w:val="197"/>
        </w:trPr>
        <w:tc>
          <w:tcPr>
            <w:tcW w:w="6400" w:type="dxa"/>
            <w:vAlign w:val="bottom"/>
            <w:shd w:val="clear" w:color="auto" w:fill="E4E4E4"/>
          </w:tcPr>
          <w:p>
            <w:pPr>
              <w:spacing w:after="0" w:line="197" w:lineRule="exact"/>
              <w:rPr>
                <w:sz w:val="20"/>
                <w:szCs w:val="20"/>
                <w:color w:val="auto"/>
              </w:rPr>
            </w:pPr>
            <w:r>
              <w:rPr>
                <w:rFonts w:ascii="Times New Roman" w:cs="Times New Roman" w:eastAsia="Times New Roman" w:hAnsi="Times New Roman"/>
                <w:sz w:val="18"/>
                <w:szCs w:val="18"/>
                <w:b w:val="1"/>
                <w:bCs w:val="1"/>
                <w:color w:val="1E1E1E"/>
              </w:rPr>
              <w:t>Cash flows provided by operating activities: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(289,627)</w:t>
            </w:r>
          </w:p>
        </w:tc>
        <w:tc>
          <w:tcPr>
            <w:tcW w:w="26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(24,179)</w:t>
            </w:r>
          </w:p>
        </w:tc>
        <w:tc>
          <w:tcPr>
            <w:tcW w:w="26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(62,324)</w:t>
            </w:r>
          </w:p>
        </w:tc>
        <w:tc>
          <w:tcPr>
            <w:tcW w:w="100" w:type="dxa"/>
            <w:vAlign w:val="bottom"/>
          </w:tcPr>
          <w:p>
            <w:pPr>
              <w:spacing w:after="0"/>
              <w:rPr>
                <w:sz w:val="17"/>
                <w:szCs w:val="17"/>
                <w:color w:val="auto"/>
              </w:rPr>
            </w:pPr>
          </w:p>
        </w:tc>
      </w:tr>
      <w:tr>
        <w:trPr>
          <w:trHeight w:val="188"/>
        </w:trPr>
        <w:tc>
          <w:tcPr>
            <w:tcW w:w="6400" w:type="dxa"/>
            <w:vAlign w:val="bottom"/>
            <w:shd w:val="clear" w:color="auto" w:fill="E4E4E4"/>
          </w:tcPr>
          <w:p>
            <w:pPr>
              <w:spacing w:after="0" w:line="188" w:lineRule="exact"/>
              <w:rPr>
                <w:sz w:val="20"/>
                <w:szCs w:val="20"/>
                <w:color w:val="auto"/>
              </w:rPr>
            </w:pPr>
            <w:r>
              <w:rPr>
                <w:rFonts w:ascii="Times New Roman" w:cs="Times New Roman" w:eastAsia="Times New Roman" w:hAnsi="Times New Roman"/>
                <w:sz w:val="18"/>
                <w:szCs w:val="18"/>
                <w:color w:val="1E1E1E"/>
              </w:rPr>
              <w:t>Adjustments to reconcile net loss to net cash provided by (used in) operating</w:t>
            </w:r>
          </w:p>
        </w:tc>
        <w:tc>
          <w:tcPr>
            <w:tcW w:w="280" w:type="dxa"/>
            <w:vAlign w:val="bottom"/>
            <w:shd w:val="clear" w:color="auto" w:fill="E4E4E4"/>
          </w:tcPr>
          <w:p>
            <w:pPr>
              <w:spacing w:after="0"/>
              <w:rPr>
                <w:sz w:val="16"/>
                <w:szCs w:val="16"/>
                <w:color w:val="auto"/>
              </w:rPr>
            </w:pPr>
          </w:p>
        </w:tc>
        <w:tc>
          <w:tcPr>
            <w:tcW w:w="98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280" w:type="dxa"/>
            <w:vAlign w:val="bottom"/>
            <w:shd w:val="clear" w:color="auto" w:fill="E4E4E4"/>
          </w:tcPr>
          <w:p>
            <w:pPr>
              <w:spacing w:after="0"/>
              <w:rPr>
                <w:sz w:val="16"/>
                <w:szCs w:val="16"/>
                <w:color w:val="auto"/>
              </w:rPr>
            </w:pPr>
          </w:p>
        </w:tc>
        <w:tc>
          <w:tcPr>
            <w:tcW w:w="980" w:type="dxa"/>
            <w:vAlign w:val="bottom"/>
            <w:shd w:val="clear" w:color="auto" w:fill="E4E4E4"/>
          </w:tcPr>
          <w:p>
            <w:pPr>
              <w:spacing w:after="0"/>
              <w:rPr>
                <w:sz w:val="16"/>
                <w:szCs w:val="16"/>
                <w:color w:val="auto"/>
              </w:rPr>
            </w:pPr>
          </w:p>
        </w:tc>
        <w:tc>
          <w:tcPr>
            <w:tcW w:w="260" w:type="dxa"/>
            <w:vAlign w:val="bottom"/>
            <w:shd w:val="clear" w:color="auto" w:fill="E4E4E4"/>
          </w:tcPr>
          <w:p>
            <w:pPr>
              <w:spacing w:after="0"/>
              <w:rPr>
                <w:sz w:val="16"/>
                <w:szCs w:val="16"/>
                <w:color w:val="auto"/>
              </w:rPr>
            </w:pPr>
          </w:p>
        </w:tc>
        <w:tc>
          <w:tcPr>
            <w:tcW w:w="280" w:type="dxa"/>
            <w:vAlign w:val="bottom"/>
            <w:shd w:val="clear" w:color="auto" w:fill="E4E4E4"/>
          </w:tcPr>
          <w:p>
            <w:pPr>
              <w:spacing w:after="0"/>
              <w:rPr>
                <w:sz w:val="16"/>
                <w:szCs w:val="16"/>
                <w:color w:val="auto"/>
              </w:rPr>
            </w:pPr>
          </w:p>
        </w:tc>
        <w:tc>
          <w:tcPr>
            <w:tcW w:w="98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r>
      <w:tr>
        <w:trPr>
          <w:trHeight w:val="226"/>
        </w:trPr>
        <w:tc>
          <w:tcPr>
            <w:tcW w:w="64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color w:val="1E1E1E"/>
              </w:rPr>
              <w:t>activities:</w:t>
            </w: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Depreciation and amortization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1,953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2,193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1,751</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Amortization of intangible assets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49,797</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54,711</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58,196</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Amortization of deferred contract costs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12,963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8,816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4,793</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Equity-based compensation</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48,739</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36,434</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9,957</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Amortization of debt issuance costs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702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702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1,698</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Provision for doubtful accounts receivable</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1,374</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1,325</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632</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Loss on extinguishment of debt</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9,843</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Non-cash restructuring charges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155</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1,023</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Goodwill impairment charge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287,400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Tax receivable agreement remeasurement</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(23,470)</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(9,717)</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(151)</w:t>
            </w: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Changes in fair value of contingent consideration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302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1,250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3,764</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Deferred income taxes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(18,713)</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(17,806)</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(436)</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Changes in operating assets and liabilities: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Accounts receivable</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811</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(13,222)</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(10,726)</w:t>
            </w: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Prepaid expenses and other assets</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(7,156)</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(127)</w:t>
            </w:r>
          </w:p>
        </w:tc>
        <w:tc>
          <w:tcPr>
            <w:tcW w:w="2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1E1E1E"/>
              </w:rPr>
              <w:t>(3,729)</w:t>
            </w: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Deferred contract costs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(18,790)</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(15,252)</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(14,441)</w:t>
            </w: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Contingent consideration</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(6,400)</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07"/>
        </w:trPr>
        <w:tc>
          <w:tcPr>
            <w:tcW w:w="6400" w:type="dxa"/>
            <w:vAlign w:val="bottom"/>
            <w:shd w:val="clear" w:color="auto" w:fill="E4E4E4"/>
          </w:tcPr>
          <w:p>
            <w:pPr>
              <w:ind w:left="700"/>
              <w:spacing w:after="0"/>
              <w:rPr>
                <w:sz w:val="20"/>
                <w:szCs w:val="20"/>
                <w:color w:val="auto"/>
              </w:rPr>
            </w:pPr>
            <w:r>
              <w:rPr>
                <w:rFonts w:ascii="Times New Roman" w:cs="Times New Roman" w:eastAsia="Times New Roman" w:hAnsi="Times New Roman"/>
                <w:sz w:val="18"/>
                <w:szCs w:val="18"/>
                <w:color w:val="1E1E1E"/>
              </w:rPr>
              <w:t>Accounts payable, accrued expenses and other liabilities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1,330</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3,138</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3,424</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700"/>
              <w:spacing w:after="0"/>
              <w:rPr>
                <w:sz w:val="20"/>
                <w:szCs w:val="20"/>
                <w:color w:val="auto"/>
              </w:rPr>
            </w:pPr>
            <w:r>
              <w:rPr>
                <w:rFonts w:ascii="Times New Roman" w:cs="Times New Roman" w:eastAsia="Times New Roman" w:hAnsi="Times New Roman"/>
                <w:sz w:val="18"/>
                <w:szCs w:val="18"/>
                <w:color w:val="1E1E1E"/>
              </w:rPr>
              <w:t>Deferred revenue</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(6,580)</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12,690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22,961</w:t>
            </w:r>
          </w:p>
        </w:tc>
        <w:tc>
          <w:tcPr>
            <w:tcW w:w="100" w:type="dxa"/>
            <w:vAlign w:val="bottom"/>
          </w:tcPr>
          <w:p>
            <w:pPr>
              <w:spacing w:after="0"/>
              <w:rPr>
                <w:sz w:val="17"/>
                <w:szCs w:val="17"/>
                <w:color w:val="auto"/>
              </w:rPr>
            </w:pPr>
          </w:p>
        </w:tc>
      </w:tr>
      <w:tr>
        <w:trPr>
          <w:trHeight w:val="197"/>
        </w:trPr>
        <w:tc>
          <w:tcPr>
            <w:tcW w:w="6400" w:type="dxa"/>
            <w:vAlign w:val="bottom"/>
            <w:tcBorders>
              <w:top w:val="single" w:sz="8" w:color="E4E4E4"/>
            </w:tcBorders>
            <w:shd w:val="clear" w:color="auto" w:fill="E4E4E4"/>
          </w:tcPr>
          <w:p>
            <w:pPr>
              <w:spacing w:after="0" w:line="197" w:lineRule="exact"/>
              <w:rPr>
                <w:sz w:val="20"/>
                <w:szCs w:val="20"/>
                <w:color w:val="auto"/>
              </w:rPr>
            </w:pPr>
            <w:r>
              <w:rPr>
                <w:rFonts w:ascii="Times New Roman" w:cs="Times New Roman" w:eastAsia="Times New Roman" w:hAnsi="Times New Roman"/>
                <w:sz w:val="18"/>
                <w:szCs w:val="18"/>
                <w:color w:val="1E1E1E"/>
              </w:rPr>
              <w:t>Net cash provided by operating activities</w:t>
            </w:r>
          </w:p>
        </w:tc>
        <w:tc>
          <w:tcPr>
            <w:tcW w:w="280" w:type="dxa"/>
            <w:vAlign w:val="bottom"/>
            <w:tcBorders>
              <w:top w:val="single" w:sz="8" w:color="1E1E1E"/>
              <w:bottom w:val="single" w:sz="8" w:color="1E1E1E"/>
            </w:tcBorders>
            <w:shd w:val="clear" w:color="auto" w:fill="E4E4E4"/>
          </w:tcPr>
          <w:p>
            <w:pPr>
              <w:spacing w:after="0"/>
              <w:rPr>
                <w:sz w:val="17"/>
                <w:szCs w:val="17"/>
                <w:color w:val="auto"/>
              </w:rPr>
            </w:pPr>
          </w:p>
        </w:tc>
        <w:tc>
          <w:tcPr>
            <w:tcW w:w="980" w:type="dxa"/>
            <w:vAlign w:val="bottom"/>
            <w:tcBorders>
              <w:top w:val="single" w:sz="8" w:color="1E1E1E"/>
              <w:bottom w:val="single" w:sz="8" w:color="1E1E1E"/>
            </w:tcBorders>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41,190</w:t>
            </w:r>
          </w:p>
        </w:tc>
        <w:tc>
          <w:tcPr>
            <w:tcW w:w="26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1E1E1E"/>
              <w:bottom w:val="single" w:sz="8" w:color="1E1E1E"/>
            </w:tcBorders>
            <w:shd w:val="clear" w:color="auto" w:fill="E4E4E4"/>
          </w:tcPr>
          <w:p>
            <w:pPr>
              <w:spacing w:after="0"/>
              <w:rPr>
                <w:sz w:val="17"/>
                <w:szCs w:val="17"/>
                <w:color w:val="auto"/>
              </w:rPr>
            </w:pPr>
          </w:p>
        </w:tc>
        <w:tc>
          <w:tcPr>
            <w:tcW w:w="980" w:type="dxa"/>
            <w:vAlign w:val="bottom"/>
            <w:tcBorders>
              <w:top w:val="single" w:sz="8" w:color="1E1E1E"/>
              <w:bottom w:val="single" w:sz="8" w:color="1E1E1E"/>
            </w:tcBorders>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35,579</w:t>
            </w:r>
          </w:p>
        </w:tc>
        <w:tc>
          <w:tcPr>
            <w:tcW w:w="26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1E1E1E"/>
              <w:bottom w:val="single" w:sz="8" w:color="1E1E1E"/>
            </w:tcBorders>
            <w:shd w:val="clear" w:color="auto" w:fill="E4E4E4"/>
          </w:tcPr>
          <w:p>
            <w:pPr>
              <w:spacing w:after="0"/>
              <w:rPr>
                <w:sz w:val="17"/>
                <w:szCs w:val="17"/>
                <w:color w:val="auto"/>
              </w:rPr>
            </w:pPr>
          </w:p>
        </w:tc>
        <w:tc>
          <w:tcPr>
            <w:tcW w:w="980" w:type="dxa"/>
            <w:vAlign w:val="bottom"/>
            <w:tcBorders>
              <w:top w:val="single" w:sz="8" w:color="1E1E1E"/>
              <w:bottom w:val="single" w:sz="8" w:color="1E1E1E"/>
            </w:tcBorders>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25,212</w:t>
            </w:r>
          </w:p>
        </w:tc>
        <w:tc>
          <w:tcPr>
            <w:tcW w:w="100" w:type="dxa"/>
            <w:vAlign w:val="bottom"/>
            <w:tcBorders>
              <w:top w:val="single" w:sz="8" w:color="E4E4E4"/>
            </w:tcBorders>
            <w:shd w:val="clear" w:color="auto" w:fill="E4E4E4"/>
          </w:tcPr>
          <w:p>
            <w:pPr>
              <w:spacing w:after="0"/>
              <w:rPr>
                <w:sz w:val="17"/>
                <w:szCs w:val="17"/>
                <w:color w:val="auto"/>
              </w:rPr>
            </w:pPr>
          </w:p>
        </w:tc>
      </w:tr>
      <w:tr>
        <w:trPr>
          <w:trHeight w:val="197"/>
        </w:trPr>
        <w:tc>
          <w:tcPr>
            <w:tcW w:w="640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1E1E1E"/>
              </w:rPr>
              <w:t>Cash flows (used in) provided by investing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Purchases of property, equipment, and other assets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(2,977)</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(8,326)</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(6,731)</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Purchases of short-term investments</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(259,208)</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(337,961)</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Maturities of short-term investments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275,426</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153,680</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Cash paid for acquisitions and investments, net of cash acquired</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(45,023)</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(56,296)</w:t>
            </w:r>
          </w:p>
        </w:tc>
        <w:tc>
          <w:tcPr>
            <w:tcW w:w="2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1E1E1E"/>
              </w:rPr>
              <w:t>(40,000)</w:t>
            </w:r>
          </w:p>
        </w:tc>
      </w:tr>
      <w:tr>
        <w:trPr>
          <w:trHeight w:val="197"/>
        </w:trPr>
        <w:tc>
          <w:tcPr>
            <w:tcW w:w="6400" w:type="dxa"/>
            <w:vAlign w:val="bottom"/>
            <w:tcBorders>
              <w:top w:val="single" w:sz="8" w:color="E4E4E4"/>
            </w:tcBorders>
            <w:shd w:val="clear" w:color="auto" w:fill="E4E4E4"/>
          </w:tcPr>
          <w:p>
            <w:pPr>
              <w:spacing w:after="0" w:line="197" w:lineRule="exact"/>
              <w:rPr>
                <w:sz w:val="20"/>
                <w:szCs w:val="20"/>
                <w:color w:val="auto"/>
              </w:rPr>
            </w:pPr>
            <w:r>
              <w:rPr>
                <w:rFonts w:ascii="Times New Roman" w:cs="Times New Roman" w:eastAsia="Times New Roman" w:hAnsi="Times New Roman"/>
                <w:sz w:val="18"/>
                <w:szCs w:val="18"/>
                <w:color w:val="1E1E1E"/>
              </w:rPr>
              <w:t>Net cash used in investing activities</w:t>
            </w:r>
          </w:p>
        </w:tc>
        <w:tc>
          <w:tcPr>
            <w:tcW w:w="280" w:type="dxa"/>
            <w:vAlign w:val="bottom"/>
            <w:tcBorders>
              <w:top w:val="single" w:sz="8" w:color="1E1E1E"/>
              <w:bottom w:val="single" w:sz="8" w:color="1E1E1E"/>
            </w:tcBorders>
            <w:shd w:val="clear" w:color="auto" w:fill="E4E4E4"/>
          </w:tcPr>
          <w:p>
            <w:pPr>
              <w:spacing w:after="0"/>
              <w:rPr>
                <w:sz w:val="17"/>
                <w:szCs w:val="17"/>
                <w:color w:val="auto"/>
              </w:rPr>
            </w:pPr>
          </w:p>
        </w:tc>
        <w:tc>
          <w:tcPr>
            <w:tcW w:w="980" w:type="dxa"/>
            <w:vAlign w:val="bottom"/>
            <w:tcBorders>
              <w:top w:val="single" w:sz="8" w:color="1E1E1E"/>
              <w:bottom w:val="single" w:sz="8" w:color="1E1E1E"/>
            </w:tcBorders>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(31,782)</w:t>
            </w:r>
          </w:p>
        </w:tc>
        <w:tc>
          <w:tcPr>
            <w:tcW w:w="26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1E1E1E"/>
              <w:bottom w:val="single" w:sz="8" w:color="1E1E1E"/>
            </w:tcBorders>
            <w:shd w:val="clear" w:color="auto" w:fill="E4E4E4"/>
          </w:tcPr>
          <w:p>
            <w:pPr>
              <w:spacing w:after="0"/>
              <w:rPr>
                <w:sz w:val="17"/>
                <w:szCs w:val="17"/>
                <w:color w:val="auto"/>
              </w:rPr>
            </w:pPr>
          </w:p>
        </w:tc>
        <w:tc>
          <w:tcPr>
            <w:tcW w:w="980" w:type="dxa"/>
            <w:vAlign w:val="bottom"/>
            <w:tcBorders>
              <w:top w:val="single" w:sz="8" w:color="1E1E1E"/>
              <w:bottom w:val="single" w:sz="8" w:color="1E1E1E"/>
            </w:tcBorders>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(248,903)</w:t>
            </w:r>
          </w:p>
        </w:tc>
        <w:tc>
          <w:tcPr>
            <w:tcW w:w="260" w:type="dxa"/>
            <w:vAlign w:val="bottom"/>
            <w:tcBorders>
              <w:top w:val="single" w:sz="8" w:color="E4E4E4"/>
            </w:tcBorders>
            <w:shd w:val="clear" w:color="auto" w:fill="E4E4E4"/>
          </w:tcPr>
          <w:p>
            <w:pPr>
              <w:spacing w:after="0"/>
              <w:rPr>
                <w:sz w:val="17"/>
                <w:szCs w:val="17"/>
                <w:color w:val="auto"/>
              </w:rPr>
            </w:pPr>
          </w:p>
        </w:tc>
        <w:tc>
          <w:tcPr>
            <w:tcW w:w="280" w:type="dxa"/>
            <w:vAlign w:val="bottom"/>
            <w:tcBorders>
              <w:top w:val="single" w:sz="8" w:color="1E1E1E"/>
              <w:bottom w:val="single" w:sz="8" w:color="1E1E1E"/>
            </w:tcBorders>
            <w:shd w:val="clear" w:color="auto" w:fill="E4E4E4"/>
          </w:tcPr>
          <w:p>
            <w:pPr>
              <w:spacing w:after="0"/>
              <w:rPr>
                <w:sz w:val="17"/>
                <w:szCs w:val="17"/>
                <w:color w:val="auto"/>
              </w:rPr>
            </w:pPr>
          </w:p>
        </w:tc>
        <w:tc>
          <w:tcPr>
            <w:tcW w:w="980" w:type="dxa"/>
            <w:vAlign w:val="bottom"/>
            <w:tcBorders>
              <w:top w:val="single" w:sz="8" w:color="1E1E1E"/>
              <w:bottom w:val="single" w:sz="8" w:color="1E1E1E"/>
            </w:tcBorders>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(46,731)</w:t>
            </w:r>
          </w:p>
        </w:tc>
        <w:tc>
          <w:tcPr>
            <w:tcW w:w="100" w:type="dxa"/>
            <w:vAlign w:val="bottom"/>
            <w:tcBorders>
              <w:top w:val="single" w:sz="8" w:color="E4E4E4"/>
            </w:tcBorders>
            <w:shd w:val="clear" w:color="auto" w:fill="E4E4E4"/>
          </w:tcPr>
          <w:p>
            <w:pPr>
              <w:spacing w:after="0"/>
              <w:rPr>
                <w:sz w:val="17"/>
                <w:szCs w:val="17"/>
                <w:color w:val="auto"/>
              </w:rPr>
            </w:pPr>
          </w:p>
        </w:tc>
      </w:tr>
      <w:tr>
        <w:trPr>
          <w:trHeight w:val="197"/>
        </w:trPr>
        <w:tc>
          <w:tcPr>
            <w:tcW w:w="640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1E1E1E"/>
              </w:rPr>
              <w:t>Cash flows (used in) provided by financing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Proceeds from term loan</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275,000</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Repayments of term loans and delayed draw term loan</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(8,594)</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(6,875)</w:t>
            </w:r>
          </w:p>
        </w:tc>
        <w:tc>
          <w:tcPr>
            <w:tcW w:w="2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1E1E1E"/>
              </w:rPr>
              <w:t>(474,460)</w:t>
            </w: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Taxes paid related to net share settlement of equity awards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(4,432)</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(4,116)</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Payment of contingent consideration</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(1,100)</w:t>
            </w:r>
          </w:p>
        </w:tc>
        <w:tc>
          <w:tcPr>
            <w:tcW w:w="2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1E1E1E"/>
              </w:rPr>
              <w:t>(1,500)</w:t>
            </w: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Payment of debt issuance costs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(3,511)</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Proceeds from equity offering, net of underwriting discounts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834,952</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Repurchase of outstanding equity / Definitive OpCo units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(231,772)</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Payments under tax receivable agreement</w:t>
            </w: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(246)</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1E1E1E"/>
              </w:rPr>
              <w:t>—</w:t>
            </w: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Payments of equity offering issuance costs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(30)</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(1,734)</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(11,709)</w:t>
            </w: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Member contributions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5,500</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Member distributions</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(12,282)</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(12,871)</w:t>
            </w:r>
          </w:p>
        </w:tc>
        <w:tc>
          <w:tcPr>
            <w:tcW w:w="280" w:type="dxa"/>
            <w:vAlign w:val="bottom"/>
            <w:shd w:val="clear" w:color="auto" w:fill="E4E4E4"/>
          </w:tcPr>
          <w:p>
            <w:pPr>
              <w:spacing w:after="0"/>
              <w:rPr>
                <w:sz w:val="17"/>
                <w:szCs w:val="17"/>
                <w:color w:val="auto"/>
              </w:rPr>
            </w:pPr>
          </w:p>
        </w:tc>
        <w:tc>
          <w:tcPr>
            <w:tcW w:w="10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8"/>
                <w:szCs w:val="18"/>
                <w:color w:val="1E1E1E"/>
              </w:rPr>
              <w:t>(8,128)</w:t>
            </w:r>
          </w:p>
        </w:tc>
      </w:tr>
      <w:tr>
        <w:trPr>
          <w:trHeight w:val="197"/>
        </w:trPr>
        <w:tc>
          <w:tcPr>
            <w:tcW w:w="6400" w:type="dxa"/>
            <w:vAlign w:val="bottom"/>
            <w:tcBorders>
              <w:bottom w:val="single" w:sz="8" w:color="E4E4E4"/>
            </w:tcBorders>
          </w:tcPr>
          <w:p>
            <w:pPr>
              <w:spacing w:after="0" w:line="197" w:lineRule="exact"/>
              <w:rPr>
                <w:sz w:val="20"/>
                <w:szCs w:val="20"/>
                <w:color w:val="auto"/>
              </w:rPr>
            </w:pPr>
            <w:r>
              <w:rPr>
                <w:rFonts w:ascii="Times New Roman" w:cs="Times New Roman" w:eastAsia="Times New Roman" w:hAnsi="Times New Roman"/>
                <w:sz w:val="18"/>
                <w:szCs w:val="18"/>
                <w:color w:val="1E1E1E"/>
              </w:rPr>
              <w:t>Net cash (used in) provided by financing activities</w:t>
            </w:r>
          </w:p>
        </w:tc>
        <w:tc>
          <w:tcPr>
            <w:tcW w:w="280" w:type="dxa"/>
            <w:vAlign w:val="bottom"/>
            <w:tcBorders>
              <w:top w:val="single" w:sz="8" w:color="1E1E1E"/>
              <w:bottom w:val="single" w:sz="8" w:color="1E1E1E"/>
            </w:tcBorders>
          </w:tcPr>
          <w:p>
            <w:pPr>
              <w:spacing w:after="0"/>
              <w:rPr>
                <w:sz w:val="17"/>
                <w:szCs w:val="17"/>
                <w:color w:val="auto"/>
              </w:rPr>
            </w:pPr>
          </w:p>
        </w:tc>
        <w:tc>
          <w:tcPr>
            <w:tcW w:w="980" w:type="dxa"/>
            <w:vAlign w:val="bottom"/>
            <w:tcBorders>
              <w:top w:val="single" w:sz="8" w:color="1E1E1E"/>
              <w:bottom w:val="single" w:sz="8" w:color="1E1E1E"/>
            </w:tcBorders>
          </w:tcPr>
          <w:p>
            <w:pPr>
              <w:jc w:val="right"/>
              <w:spacing w:after="0" w:line="197" w:lineRule="exact"/>
              <w:rPr>
                <w:sz w:val="20"/>
                <w:szCs w:val="20"/>
                <w:color w:val="auto"/>
              </w:rPr>
            </w:pPr>
            <w:r>
              <w:rPr>
                <w:rFonts w:ascii="Times New Roman" w:cs="Times New Roman" w:eastAsia="Times New Roman" w:hAnsi="Times New Roman"/>
                <w:sz w:val="18"/>
                <w:szCs w:val="18"/>
                <w:color w:val="1E1E1E"/>
              </w:rPr>
              <w:t>(25,584)</w:t>
            </w:r>
          </w:p>
        </w:tc>
        <w:tc>
          <w:tcPr>
            <w:tcW w:w="260" w:type="dxa"/>
            <w:vAlign w:val="bottom"/>
            <w:tcBorders>
              <w:bottom w:val="single" w:sz="8" w:color="E4E4E4"/>
            </w:tcBorders>
          </w:tcPr>
          <w:p>
            <w:pPr>
              <w:spacing w:after="0"/>
              <w:rPr>
                <w:sz w:val="17"/>
                <w:szCs w:val="17"/>
                <w:color w:val="auto"/>
              </w:rPr>
            </w:pPr>
          </w:p>
        </w:tc>
        <w:tc>
          <w:tcPr>
            <w:tcW w:w="280" w:type="dxa"/>
            <w:vAlign w:val="bottom"/>
            <w:tcBorders>
              <w:top w:val="single" w:sz="8" w:color="1E1E1E"/>
              <w:bottom w:val="single" w:sz="8" w:color="1E1E1E"/>
            </w:tcBorders>
          </w:tcPr>
          <w:p>
            <w:pPr>
              <w:spacing w:after="0"/>
              <w:rPr>
                <w:sz w:val="17"/>
                <w:szCs w:val="17"/>
                <w:color w:val="auto"/>
              </w:rPr>
            </w:pPr>
          </w:p>
        </w:tc>
        <w:tc>
          <w:tcPr>
            <w:tcW w:w="980" w:type="dxa"/>
            <w:vAlign w:val="bottom"/>
            <w:tcBorders>
              <w:top w:val="single" w:sz="8" w:color="1E1E1E"/>
              <w:bottom w:val="single" w:sz="8" w:color="1E1E1E"/>
            </w:tcBorders>
          </w:tcPr>
          <w:p>
            <w:pPr>
              <w:jc w:val="right"/>
              <w:spacing w:after="0" w:line="197" w:lineRule="exact"/>
              <w:rPr>
                <w:sz w:val="20"/>
                <w:szCs w:val="20"/>
                <w:color w:val="auto"/>
              </w:rPr>
            </w:pPr>
            <w:r>
              <w:rPr>
                <w:rFonts w:ascii="Times New Roman" w:cs="Times New Roman" w:eastAsia="Times New Roman" w:hAnsi="Times New Roman"/>
                <w:sz w:val="18"/>
                <w:szCs w:val="18"/>
                <w:color w:val="1E1E1E"/>
              </w:rPr>
              <w:t>(26,696)</w:t>
            </w:r>
          </w:p>
        </w:tc>
        <w:tc>
          <w:tcPr>
            <w:tcW w:w="260" w:type="dxa"/>
            <w:vAlign w:val="bottom"/>
            <w:tcBorders>
              <w:bottom w:val="single" w:sz="8" w:color="E4E4E4"/>
            </w:tcBorders>
          </w:tcPr>
          <w:p>
            <w:pPr>
              <w:spacing w:after="0"/>
              <w:rPr>
                <w:sz w:val="17"/>
                <w:szCs w:val="17"/>
                <w:color w:val="auto"/>
              </w:rPr>
            </w:pPr>
          </w:p>
        </w:tc>
        <w:tc>
          <w:tcPr>
            <w:tcW w:w="280" w:type="dxa"/>
            <w:vAlign w:val="bottom"/>
            <w:tcBorders>
              <w:top w:val="single" w:sz="8" w:color="1E1E1E"/>
              <w:bottom w:val="single" w:sz="8" w:color="1E1E1E"/>
            </w:tcBorders>
          </w:tcPr>
          <w:p>
            <w:pPr>
              <w:spacing w:after="0"/>
              <w:rPr>
                <w:sz w:val="17"/>
                <w:szCs w:val="17"/>
                <w:color w:val="auto"/>
              </w:rPr>
            </w:pPr>
          </w:p>
        </w:tc>
        <w:tc>
          <w:tcPr>
            <w:tcW w:w="980" w:type="dxa"/>
            <w:vAlign w:val="bottom"/>
            <w:tcBorders>
              <w:top w:val="single" w:sz="8" w:color="1E1E1E"/>
              <w:bottom w:val="single" w:sz="8" w:color="1E1E1E"/>
            </w:tcBorders>
          </w:tcPr>
          <w:p>
            <w:pPr>
              <w:jc w:val="right"/>
              <w:spacing w:after="0" w:line="197" w:lineRule="exact"/>
              <w:rPr>
                <w:sz w:val="20"/>
                <w:szCs w:val="20"/>
                <w:color w:val="auto"/>
              </w:rPr>
            </w:pPr>
            <w:r>
              <w:rPr>
                <w:rFonts w:ascii="Times New Roman" w:cs="Times New Roman" w:eastAsia="Times New Roman" w:hAnsi="Times New Roman"/>
                <w:sz w:val="18"/>
                <w:szCs w:val="18"/>
                <w:color w:val="1E1E1E"/>
              </w:rPr>
              <w:t>384,372</w:t>
            </w:r>
          </w:p>
        </w:tc>
        <w:tc>
          <w:tcPr>
            <w:tcW w:w="100" w:type="dxa"/>
            <w:vAlign w:val="bottom"/>
            <w:tcBorders>
              <w:bottom w:val="single" w:sz="8" w:color="E4E4E4"/>
            </w:tcBorders>
          </w:tcPr>
          <w:p>
            <w:pPr>
              <w:spacing w:after="0"/>
              <w:rPr>
                <w:sz w:val="17"/>
                <w:szCs w:val="17"/>
                <w:color w:val="auto"/>
              </w:rPr>
            </w:pPr>
          </w:p>
        </w:tc>
      </w:tr>
      <w:tr>
        <w:trPr>
          <w:trHeight w:val="197"/>
        </w:trPr>
        <w:tc>
          <w:tcPr>
            <w:tcW w:w="6400" w:type="dxa"/>
            <w:vAlign w:val="bottom"/>
            <w:shd w:val="clear" w:color="auto" w:fill="E4E4E4"/>
          </w:tcPr>
          <w:p>
            <w:pPr>
              <w:spacing w:after="0" w:line="197" w:lineRule="exact"/>
              <w:rPr>
                <w:sz w:val="20"/>
                <w:szCs w:val="20"/>
                <w:color w:val="auto"/>
              </w:rPr>
            </w:pPr>
            <w:r>
              <w:rPr>
                <w:rFonts w:ascii="Times New Roman" w:cs="Times New Roman" w:eastAsia="Times New Roman" w:hAnsi="Times New Roman"/>
                <w:sz w:val="18"/>
                <w:szCs w:val="18"/>
                <w:color w:val="1E1E1E"/>
              </w:rPr>
              <w:t>Net (decrease) increase in cash and cash equivalents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(16,176)</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(240,020)</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line="197" w:lineRule="exact"/>
              <w:rPr>
                <w:sz w:val="20"/>
                <w:szCs w:val="20"/>
                <w:color w:val="auto"/>
              </w:rPr>
            </w:pPr>
            <w:r>
              <w:rPr>
                <w:rFonts w:ascii="Times New Roman" w:cs="Times New Roman" w:eastAsia="Times New Roman" w:hAnsi="Times New Roman"/>
                <w:sz w:val="18"/>
                <w:szCs w:val="18"/>
                <w:color w:val="1E1E1E"/>
              </w:rPr>
              <w:t>362,853</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Effect of exchange rate changes on cash and cash equivalents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218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(544)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(129)</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Cash and cash equivalents, beginning of year</w:t>
            </w:r>
          </w:p>
        </w:tc>
        <w:tc>
          <w:tcPr>
            <w:tcW w:w="280" w:type="dxa"/>
            <w:vAlign w:val="bottom"/>
            <w:tcBorders>
              <w:bottom w:val="single" w:sz="8" w:color="1E1E1E"/>
            </w:tcBorders>
            <w:shd w:val="clear" w:color="auto" w:fill="E4E4E4"/>
          </w:tcPr>
          <w:p>
            <w:pPr>
              <w:spacing w:after="0"/>
              <w:rPr>
                <w:sz w:val="17"/>
                <w:szCs w:val="17"/>
                <w:color w:val="auto"/>
              </w:rPr>
            </w:pPr>
          </w:p>
        </w:tc>
        <w:tc>
          <w:tcPr>
            <w:tcW w:w="9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146,934</w:t>
            </w:r>
          </w:p>
        </w:tc>
        <w:tc>
          <w:tcPr>
            <w:tcW w:w="260" w:type="dxa"/>
            <w:vAlign w:val="bottom"/>
            <w:shd w:val="clear" w:color="auto" w:fill="E4E4E4"/>
          </w:tcPr>
          <w:p>
            <w:pPr>
              <w:spacing w:after="0"/>
              <w:rPr>
                <w:sz w:val="17"/>
                <w:szCs w:val="17"/>
                <w:color w:val="auto"/>
              </w:rPr>
            </w:pPr>
          </w:p>
        </w:tc>
        <w:tc>
          <w:tcPr>
            <w:tcW w:w="280" w:type="dxa"/>
            <w:vAlign w:val="bottom"/>
            <w:tcBorders>
              <w:bottom w:val="single" w:sz="8" w:color="1E1E1E"/>
            </w:tcBorders>
            <w:shd w:val="clear" w:color="auto" w:fill="E4E4E4"/>
          </w:tcPr>
          <w:p>
            <w:pPr>
              <w:spacing w:after="0"/>
              <w:rPr>
                <w:sz w:val="17"/>
                <w:szCs w:val="17"/>
                <w:color w:val="auto"/>
              </w:rPr>
            </w:pPr>
          </w:p>
        </w:tc>
        <w:tc>
          <w:tcPr>
            <w:tcW w:w="9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387,498</w:t>
            </w:r>
          </w:p>
        </w:tc>
        <w:tc>
          <w:tcPr>
            <w:tcW w:w="260" w:type="dxa"/>
            <w:vAlign w:val="bottom"/>
            <w:shd w:val="clear" w:color="auto" w:fill="E4E4E4"/>
          </w:tcPr>
          <w:p>
            <w:pPr>
              <w:spacing w:after="0"/>
              <w:rPr>
                <w:sz w:val="17"/>
                <w:szCs w:val="17"/>
                <w:color w:val="auto"/>
              </w:rPr>
            </w:pPr>
          </w:p>
        </w:tc>
        <w:tc>
          <w:tcPr>
            <w:tcW w:w="280" w:type="dxa"/>
            <w:vAlign w:val="bottom"/>
            <w:tcBorders>
              <w:bottom w:val="single" w:sz="8" w:color="1E1E1E"/>
            </w:tcBorders>
            <w:shd w:val="clear" w:color="auto" w:fill="E4E4E4"/>
          </w:tcPr>
          <w:p>
            <w:pPr>
              <w:spacing w:after="0"/>
              <w:rPr>
                <w:sz w:val="17"/>
                <w:szCs w:val="17"/>
                <w:color w:val="auto"/>
              </w:rPr>
            </w:pPr>
          </w:p>
        </w:tc>
        <w:tc>
          <w:tcPr>
            <w:tcW w:w="9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24,774</w:t>
            </w:r>
          </w:p>
        </w:tc>
        <w:tc>
          <w:tcPr>
            <w:tcW w:w="100" w:type="dxa"/>
            <w:vAlign w:val="bottom"/>
            <w:shd w:val="clear" w:color="auto" w:fill="E4E4E4"/>
          </w:tcPr>
          <w:p>
            <w:pPr>
              <w:spacing w:after="0"/>
              <w:rPr>
                <w:sz w:val="17"/>
                <w:szCs w:val="17"/>
                <w:color w:val="auto"/>
              </w:rPr>
            </w:pPr>
          </w:p>
        </w:tc>
      </w:tr>
      <w:tr>
        <w:trPr>
          <w:trHeight w:val="221"/>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Cash and cash equivalents, end of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130,976</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146,934</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387,498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-14605</wp:posOffset>
            </wp:positionV>
            <wp:extent cx="2723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23515" cy="952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-141605</wp:posOffset>
            </wp:positionV>
            <wp:extent cx="2723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23515" cy="9525"/>
                    </a:xfrm>
                    <a:prstGeom prst="rect">
                      <a:avLst/>
                    </a:prstGeom>
                    <a:noFill/>
                  </pic:spPr>
                </pic:pic>
              </a:graphicData>
            </a:graphic>
          </wp:anchor>
        </w:drawing>
      </w:r>
    </w:p>
    <w:p>
      <w:pPr>
        <w:sectPr>
          <w:pgSz w:w="11880" w:h="15480" w:orient="portrait"/>
          <w:cols w:equalWidth="0" w:num="1">
            <w:col w:w="10800"/>
          </w:cols>
          <w:pgMar w:left="540" w:top="7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F-10</w:t>
      </w:r>
    </w:p>
    <w:p>
      <w:pPr>
        <w:sectPr>
          <w:pgSz w:w="11880" w:h="15480" w:orient="portrait"/>
          <w:cols w:equalWidth="0" w:num="1">
            <w:col w:w="10800"/>
          </w:cols>
          <w:pgMar w:left="540" w:top="745" w:right="540" w:bottom="8" w:gutter="0" w:footer="0" w:header="0"/>
          <w:type w:val="continuous"/>
        </w:sectPr>
      </w:pPr>
    </w:p>
    <w:bookmarkStart w:id="94" w:name="page95"/>
    <w:bookmarkEnd w:id="94"/>
    <w:p>
      <w:pPr>
        <w:jc w:val="center"/>
        <w:spacing w:after="0" w:line="261" w:lineRule="auto"/>
        <w:rPr>
          <w:sz w:val="20"/>
          <w:szCs w:val="20"/>
          <w:color w:val="auto"/>
        </w:rPr>
      </w:pPr>
      <w:r>
        <w:rPr>
          <w:rFonts w:ascii="Times New Roman" w:cs="Times New Roman" w:eastAsia="Times New Roman" w:hAnsi="Times New Roman"/>
          <w:sz w:val="20"/>
          <w:szCs w:val="20"/>
          <w:b w:val="1"/>
          <w:bCs w:val="1"/>
          <w:color w:val="1E1E1E"/>
        </w:rPr>
        <w:t xml:space="preserve">DEFINITIVE HEALTHCARE CORP. CONSOLIDATED STATEMENTS OF CASH FLOWS (CONTINUED) </w:t>
      </w:r>
      <w:r>
        <w:rPr>
          <w:rFonts w:ascii="Times New Roman" w:cs="Times New Roman" w:eastAsia="Times New Roman" w:hAnsi="Times New Roman"/>
          <w:sz w:val="20"/>
          <w:szCs w:val="20"/>
          <w:i w:val="1"/>
          <w:iCs w:val="1"/>
          <w:color w:val="1E1E1E"/>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3040" w:type="dxa"/>
            <w:vAlign w:val="bottom"/>
            <w:tcBorders>
              <w:bottom w:val="single" w:sz="8" w:color="1E1E1E"/>
            </w:tcBorders>
            <w:gridSpan w:val="6"/>
          </w:tcPr>
          <w:p>
            <w:pPr>
              <w:jc w:val="right"/>
              <w:ind w:right="75"/>
              <w:spacing w:after="0"/>
              <w:rPr>
                <w:sz w:val="20"/>
                <w:szCs w:val="20"/>
                <w:color w:val="auto"/>
              </w:rPr>
            </w:pPr>
            <w:r>
              <w:rPr>
                <w:rFonts w:ascii="Times New Roman" w:cs="Times New Roman" w:eastAsia="Times New Roman" w:hAnsi="Times New Roman"/>
                <w:sz w:val="18"/>
                <w:szCs w:val="18"/>
                <w:b w:val="1"/>
                <w:bCs w:val="1"/>
                <w:color w:val="1E1E1E"/>
              </w:rPr>
              <w:t>Year Ended December 31,</w:t>
            </w:r>
          </w:p>
        </w:tc>
        <w:tc>
          <w:tcPr>
            <w:tcW w:w="980" w:type="dxa"/>
            <w:vAlign w:val="bottom"/>
            <w:tcBorders>
              <w:bottom w:val="single" w:sz="8" w:color="1E1E1E"/>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400" w:type="dxa"/>
            <w:vAlign w:val="bottom"/>
            <w:tcBorders>
              <w:bottom w:val="single" w:sz="8" w:color="E4E4E4"/>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right"/>
              <w:ind w:right="350"/>
              <w:spacing w:after="0" w:line="197" w:lineRule="exact"/>
              <w:rPr>
                <w:sz w:val="20"/>
                <w:szCs w:val="20"/>
                <w:color w:val="auto"/>
              </w:rPr>
            </w:pPr>
            <w:r>
              <w:rPr>
                <w:rFonts w:ascii="Times New Roman" w:cs="Times New Roman" w:eastAsia="Times New Roman" w:hAnsi="Times New Roman"/>
                <w:sz w:val="18"/>
                <w:szCs w:val="18"/>
                <w:b w:val="1"/>
                <w:bCs w:val="1"/>
                <w:color w:val="1E1E1E"/>
              </w:rPr>
              <w:t>2023</w:t>
            </w:r>
          </w:p>
        </w:tc>
        <w:tc>
          <w:tcPr>
            <w:tcW w:w="260" w:type="dxa"/>
            <w:vAlign w:val="bottom"/>
            <w:tcBorders>
              <w:bottom w:val="single" w:sz="8" w:color="E4E4E4"/>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1000" w:type="dxa"/>
            <w:vAlign w:val="bottom"/>
            <w:tcBorders>
              <w:bottom w:val="single" w:sz="8" w:color="1E1E1E"/>
            </w:tcBorders>
          </w:tcPr>
          <w:p>
            <w:pPr>
              <w:jc w:val="right"/>
              <w:ind w:right="370"/>
              <w:spacing w:after="0" w:line="197" w:lineRule="exact"/>
              <w:rPr>
                <w:sz w:val="20"/>
                <w:szCs w:val="20"/>
                <w:color w:val="auto"/>
              </w:rPr>
            </w:pPr>
            <w:r>
              <w:rPr>
                <w:rFonts w:ascii="Times New Roman" w:cs="Times New Roman" w:eastAsia="Times New Roman" w:hAnsi="Times New Roman"/>
                <w:sz w:val="18"/>
                <w:szCs w:val="18"/>
                <w:b w:val="1"/>
                <w:bCs w:val="1"/>
                <w:color w:val="1E1E1E"/>
              </w:rPr>
              <w:t>2022</w:t>
            </w:r>
          </w:p>
        </w:tc>
        <w:tc>
          <w:tcPr>
            <w:tcW w:w="260" w:type="dxa"/>
            <w:vAlign w:val="bottom"/>
            <w:tcBorders>
              <w:bottom w:val="single" w:sz="8" w:color="E4E4E4"/>
            </w:tcBorders>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jc w:val="right"/>
              <w:ind w:right="370"/>
              <w:spacing w:after="0" w:line="197" w:lineRule="exact"/>
              <w:rPr>
                <w:sz w:val="20"/>
                <w:szCs w:val="20"/>
                <w:color w:val="auto"/>
              </w:rPr>
            </w:pPr>
            <w:r>
              <w:rPr>
                <w:rFonts w:ascii="Times New Roman" w:cs="Times New Roman" w:eastAsia="Times New Roman" w:hAnsi="Times New Roman"/>
                <w:sz w:val="18"/>
                <w:szCs w:val="18"/>
                <w:b w:val="1"/>
                <w:bCs w:val="1"/>
                <w:color w:val="1E1E1E"/>
              </w:rPr>
              <w:t>2021</w:t>
            </w:r>
          </w:p>
        </w:tc>
        <w:tc>
          <w:tcPr>
            <w:tcW w:w="100" w:type="dxa"/>
            <w:vAlign w:val="bottom"/>
            <w:tcBorders>
              <w:bottom w:val="single" w:sz="8" w:color="E4E4E4"/>
            </w:tcBorders>
          </w:tcPr>
          <w:p>
            <w:pPr>
              <w:spacing w:after="0"/>
              <w:rPr>
                <w:sz w:val="17"/>
                <w:szCs w:val="17"/>
                <w:color w:val="auto"/>
              </w:rPr>
            </w:pPr>
          </w:p>
        </w:tc>
      </w:tr>
      <w:tr>
        <w:trPr>
          <w:trHeight w:val="197"/>
        </w:trPr>
        <w:tc>
          <w:tcPr>
            <w:tcW w:w="6400" w:type="dxa"/>
            <w:vAlign w:val="bottom"/>
            <w:shd w:val="clear" w:color="auto" w:fill="E4E4E4"/>
          </w:tcPr>
          <w:p>
            <w:pPr>
              <w:spacing w:after="0" w:line="197" w:lineRule="exact"/>
              <w:rPr>
                <w:sz w:val="20"/>
                <w:szCs w:val="20"/>
                <w:color w:val="auto"/>
              </w:rPr>
            </w:pPr>
            <w:r>
              <w:rPr>
                <w:rFonts w:ascii="Times New Roman" w:cs="Times New Roman" w:eastAsia="Times New Roman" w:hAnsi="Times New Roman"/>
                <w:sz w:val="18"/>
                <w:szCs w:val="18"/>
                <w:b w:val="1"/>
                <w:bCs w:val="1"/>
                <w:color w:val="1E1E1E"/>
              </w:rPr>
              <w:t>Supplemental cash flow disclosures: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Cash paid during the year for: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Interest</w:t>
            </w:r>
          </w:p>
        </w:tc>
        <w:tc>
          <w:tcPr>
            <w:tcW w:w="280" w:type="dxa"/>
            <w:vAlign w:val="bottom"/>
            <w:shd w:val="clear" w:color="auto" w:fill="E4E4E4"/>
          </w:tcPr>
          <w:p>
            <w:pPr>
              <w:jc w:val="right"/>
              <w:ind w:right="90"/>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14,456</w:t>
            </w:r>
          </w:p>
        </w:tc>
        <w:tc>
          <w:tcPr>
            <w:tcW w:w="260" w:type="dxa"/>
            <w:vAlign w:val="bottom"/>
            <w:shd w:val="clear" w:color="auto" w:fill="E4E4E4"/>
          </w:tcPr>
          <w:p>
            <w:pPr>
              <w:spacing w:after="0"/>
              <w:rPr>
                <w:sz w:val="17"/>
                <w:szCs w:val="17"/>
                <w:color w:val="auto"/>
              </w:rPr>
            </w:pPr>
          </w:p>
        </w:tc>
        <w:tc>
          <w:tcPr>
            <w:tcW w:w="260" w:type="dxa"/>
            <w:vAlign w:val="bottom"/>
            <w:shd w:val="clear" w:color="auto" w:fill="E4E4E4"/>
          </w:tcPr>
          <w:p>
            <w:pPr>
              <w:jc w:val="right"/>
              <w:ind w:right="95"/>
              <w:spacing w:after="0"/>
              <w:rPr>
                <w:sz w:val="20"/>
                <w:szCs w:val="20"/>
                <w:color w:val="auto"/>
              </w:rPr>
            </w:pPr>
            <w:r>
              <w:rPr>
                <w:rFonts w:ascii="Times New Roman" w:cs="Times New Roman" w:eastAsia="Times New Roman" w:hAnsi="Times New Roman"/>
                <w:sz w:val="17"/>
                <w:szCs w:val="17"/>
                <w:color w:val="1E1E1E"/>
                <w:w w:val="70"/>
              </w:rPr>
              <w:t>$</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10,443</w:t>
            </w: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29,569</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13</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18"/>
                <w:szCs w:val="18"/>
                <w:color w:val="1E1E1E"/>
              </w:rPr>
              <w:t>Acquisitions: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1E1E1E"/>
              </w:rPr>
              <w:t>Net assets acquired, net of cash acquired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52,678</w:t>
            </w:r>
          </w:p>
        </w:tc>
        <w:tc>
          <w:tcPr>
            <w:tcW w:w="260" w:type="dxa"/>
            <w:vAlign w:val="bottom"/>
          </w:tcPr>
          <w:p>
            <w:pPr>
              <w:spacing w:after="0"/>
              <w:rPr>
                <w:sz w:val="17"/>
                <w:szCs w:val="17"/>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1E1E1E"/>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97,296</w:t>
            </w:r>
          </w:p>
        </w:tc>
        <w:tc>
          <w:tcPr>
            <w:tcW w:w="26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600"/>
              <w:spacing w:after="0"/>
              <w:rPr>
                <w:sz w:val="20"/>
                <w:szCs w:val="20"/>
                <w:color w:val="auto"/>
              </w:rPr>
            </w:pPr>
            <w:r>
              <w:rPr>
                <w:rFonts w:ascii="Times New Roman" w:cs="Times New Roman" w:eastAsia="Times New Roman" w:hAnsi="Times New Roman"/>
                <w:sz w:val="18"/>
                <w:szCs w:val="18"/>
                <w:color w:val="1E1E1E"/>
              </w:rPr>
              <w:t>Working capital adjustment receivable</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145</w:t>
            </w:r>
          </w:p>
        </w:tc>
        <w:tc>
          <w:tcPr>
            <w:tcW w:w="26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shd w:val="clear" w:color="auto" w:fill="E4E4E4"/>
          </w:tcPr>
          <w:p>
            <w:pPr>
              <w:spacing w:after="0"/>
              <w:rPr>
                <w:sz w:val="17"/>
                <w:szCs w:val="17"/>
                <w:color w:val="auto"/>
              </w:rPr>
            </w:pPr>
          </w:p>
        </w:tc>
      </w:tr>
      <w:tr>
        <w:trPr>
          <w:trHeight w:val="207"/>
        </w:trPr>
        <w:tc>
          <w:tcPr>
            <w:tcW w:w="6400" w:type="dxa"/>
            <w:vAlign w:val="bottom"/>
          </w:tcPr>
          <w:p>
            <w:pPr>
              <w:ind w:left="600"/>
              <w:spacing w:after="0"/>
              <w:rPr>
                <w:sz w:val="20"/>
                <w:szCs w:val="20"/>
                <w:color w:val="auto"/>
              </w:rPr>
            </w:pPr>
            <w:r>
              <w:rPr>
                <w:rFonts w:ascii="Times New Roman" w:cs="Times New Roman" w:eastAsia="Times New Roman" w:hAnsi="Times New Roman"/>
                <w:sz w:val="18"/>
                <w:szCs w:val="18"/>
                <w:color w:val="1E1E1E"/>
              </w:rPr>
              <w:t>Initial cash investment in prior year</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1E1E1E"/>
              </w:rPr>
              <w:t>—</w:t>
            </w:r>
          </w:p>
        </w:tc>
        <w:tc>
          <w:tcPr>
            <w:tcW w:w="26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1E1E1E"/>
              </w:rPr>
              <w:t>(40,000)</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ind w:left="600"/>
              <w:spacing w:after="0"/>
              <w:rPr>
                <w:sz w:val="20"/>
                <w:szCs w:val="20"/>
                <w:color w:val="auto"/>
              </w:rPr>
            </w:pPr>
            <w:r>
              <w:rPr>
                <w:rFonts w:ascii="Times New Roman" w:cs="Times New Roman" w:eastAsia="Times New Roman" w:hAnsi="Times New Roman"/>
                <w:sz w:val="18"/>
                <w:szCs w:val="18"/>
                <w:color w:val="1E1E1E"/>
              </w:rPr>
              <w:t>Contingent consideration</w:t>
            </w:r>
          </w:p>
        </w:tc>
        <w:tc>
          <w:tcPr>
            <w:tcW w:w="280" w:type="dxa"/>
            <w:vAlign w:val="bottom"/>
            <w:shd w:val="clear" w:color="auto" w:fill="E4E4E4"/>
          </w:tcPr>
          <w:p>
            <w:pPr>
              <w:spacing w:after="0"/>
              <w:rPr>
                <w:sz w:val="17"/>
                <w:szCs w:val="17"/>
                <w:color w:val="auto"/>
              </w:rPr>
            </w:pPr>
          </w:p>
        </w:tc>
        <w:tc>
          <w:tcPr>
            <w:tcW w:w="124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(7,800)</w:t>
            </w:r>
          </w:p>
        </w:tc>
        <w:tc>
          <w:tcPr>
            <w:tcW w:w="260" w:type="dxa"/>
            <w:vAlign w:val="bottom"/>
            <w:shd w:val="clear" w:color="auto" w:fill="E4E4E4"/>
          </w:tcPr>
          <w:p>
            <w:pPr>
              <w:spacing w:after="0"/>
              <w:rPr>
                <w:sz w:val="17"/>
                <w:szCs w:val="17"/>
                <w:color w:val="auto"/>
              </w:rPr>
            </w:pPr>
          </w:p>
        </w:tc>
        <w:tc>
          <w:tcPr>
            <w:tcW w:w="126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8"/>
                <w:szCs w:val="18"/>
                <w:color w:val="1E1E1E"/>
              </w:rPr>
              <w:t>(1,000)</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8"/>
                <w:szCs w:val="18"/>
                <w:color w:val="1E1E1E"/>
              </w:rPr>
              <w:t>—</w:t>
            </w:r>
          </w:p>
        </w:tc>
        <w:tc>
          <w:tcPr>
            <w:tcW w:w="100" w:type="dxa"/>
            <w:vAlign w:val="bottom"/>
            <w:shd w:val="clear" w:color="auto" w:fill="E4E4E4"/>
          </w:tcPr>
          <w:p>
            <w:pPr>
              <w:spacing w:after="0"/>
              <w:rPr>
                <w:sz w:val="17"/>
                <w:szCs w:val="17"/>
                <w:color w:val="auto"/>
              </w:rPr>
            </w:pPr>
          </w:p>
        </w:tc>
      </w:tr>
      <w:tr>
        <w:trPr>
          <w:trHeight w:val="197"/>
        </w:trPr>
        <w:tc>
          <w:tcPr>
            <w:tcW w:w="6400" w:type="dxa"/>
            <w:vAlign w:val="bottom"/>
          </w:tcPr>
          <w:p>
            <w:pPr>
              <w:ind w:left="800"/>
              <w:spacing w:after="0" w:line="197" w:lineRule="exact"/>
              <w:rPr>
                <w:sz w:val="20"/>
                <w:szCs w:val="20"/>
                <w:color w:val="auto"/>
              </w:rPr>
            </w:pPr>
            <w:r>
              <w:rPr>
                <w:rFonts w:ascii="Times New Roman" w:cs="Times New Roman" w:eastAsia="Times New Roman" w:hAnsi="Times New Roman"/>
                <w:sz w:val="18"/>
                <w:szCs w:val="18"/>
                <w:color w:val="1E1E1E"/>
              </w:rPr>
              <w:t>Net cash paid for acquisitions</w:t>
            </w:r>
          </w:p>
        </w:tc>
        <w:tc>
          <w:tcPr>
            <w:tcW w:w="280" w:type="dxa"/>
            <w:vAlign w:val="bottom"/>
            <w:tcBorders>
              <w:top w:val="single" w:sz="8" w:color="1E1E1E"/>
              <w:bottom w:val="single" w:sz="8" w:color="1E1E1E"/>
            </w:tcBorders>
          </w:tcPr>
          <w:p>
            <w:pPr>
              <w:jc w:val="right"/>
              <w:ind w:right="90"/>
              <w:spacing w:after="0" w:line="197" w:lineRule="exact"/>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tcBorders>
              <w:top w:val="single" w:sz="8" w:color="1E1E1E"/>
              <w:bottom w:val="single" w:sz="8" w:color="1E1E1E"/>
            </w:tcBorders>
          </w:tcPr>
          <w:p>
            <w:pPr>
              <w:jc w:val="right"/>
              <w:spacing w:after="0" w:line="197" w:lineRule="exact"/>
              <w:rPr>
                <w:sz w:val="20"/>
                <w:szCs w:val="20"/>
                <w:color w:val="auto"/>
              </w:rPr>
            </w:pPr>
            <w:r>
              <w:rPr>
                <w:rFonts w:ascii="Times New Roman" w:cs="Times New Roman" w:eastAsia="Times New Roman" w:hAnsi="Times New Roman"/>
                <w:sz w:val="18"/>
                <w:szCs w:val="18"/>
                <w:color w:val="1E1E1E"/>
              </w:rPr>
              <w:t>45,023</w:t>
            </w:r>
          </w:p>
        </w:tc>
        <w:tc>
          <w:tcPr>
            <w:tcW w:w="260" w:type="dxa"/>
            <w:vAlign w:val="bottom"/>
          </w:tcPr>
          <w:p>
            <w:pPr>
              <w:spacing w:after="0"/>
              <w:rPr>
                <w:sz w:val="17"/>
                <w:szCs w:val="17"/>
                <w:color w:val="auto"/>
              </w:rPr>
            </w:pPr>
          </w:p>
        </w:tc>
        <w:tc>
          <w:tcPr>
            <w:tcW w:w="260" w:type="dxa"/>
            <w:vAlign w:val="bottom"/>
            <w:tcBorders>
              <w:top w:val="single" w:sz="8" w:color="1E1E1E"/>
              <w:bottom w:val="single" w:sz="8" w:color="1E1E1E"/>
            </w:tcBorders>
          </w:tcPr>
          <w:p>
            <w:pPr>
              <w:jc w:val="right"/>
              <w:ind w:right="95"/>
              <w:spacing w:after="0"/>
              <w:rPr>
                <w:sz w:val="20"/>
                <w:szCs w:val="20"/>
                <w:color w:val="auto"/>
              </w:rPr>
            </w:pPr>
            <w:r>
              <w:rPr>
                <w:rFonts w:ascii="Times New Roman" w:cs="Times New Roman" w:eastAsia="Times New Roman" w:hAnsi="Times New Roman"/>
                <w:sz w:val="17"/>
                <w:szCs w:val="17"/>
                <w:color w:val="1E1E1E"/>
                <w:w w:val="70"/>
              </w:rPr>
              <w:t>$</w:t>
            </w:r>
          </w:p>
        </w:tc>
        <w:tc>
          <w:tcPr>
            <w:tcW w:w="1000" w:type="dxa"/>
            <w:vAlign w:val="bottom"/>
            <w:tcBorders>
              <w:top w:val="single" w:sz="8" w:color="1E1E1E"/>
              <w:bottom w:val="single" w:sz="8" w:color="1E1E1E"/>
            </w:tcBorders>
          </w:tcPr>
          <w:p>
            <w:pPr>
              <w:jc w:val="right"/>
              <w:spacing w:after="0" w:line="197" w:lineRule="exact"/>
              <w:rPr>
                <w:sz w:val="20"/>
                <w:szCs w:val="20"/>
                <w:color w:val="auto"/>
              </w:rPr>
            </w:pPr>
            <w:r>
              <w:rPr>
                <w:rFonts w:ascii="Times New Roman" w:cs="Times New Roman" w:eastAsia="Times New Roman" w:hAnsi="Times New Roman"/>
                <w:sz w:val="18"/>
                <w:szCs w:val="18"/>
                <w:color w:val="1E1E1E"/>
              </w:rPr>
              <w:t>56,296</w:t>
            </w:r>
          </w:p>
        </w:tc>
        <w:tc>
          <w:tcPr>
            <w:tcW w:w="260" w:type="dxa"/>
            <w:vAlign w:val="bottom"/>
          </w:tcPr>
          <w:p>
            <w:pPr>
              <w:spacing w:after="0"/>
              <w:rPr>
                <w:sz w:val="17"/>
                <w:szCs w:val="17"/>
                <w:color w:val="auto"/>
              </w:rPr>
            </w:pPr>
          </w:p>
        </w:tc>
        <w:tc>
          <w:tcPr>
            <w:tcW w:w="280" w:type="dxa"/>
            <w:vAlign w:val="bottom"/>
            <w:tcBorders>
              <w:top w:val="single" w:sz="8" w:color="1E1E1E"/>
              <w:bottom w:val="single" w:sz="8" w:color="1E1E1E"/>
            </w:tcBorders>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Borders>
              <w:top w:val="single" w:sz="8" w:color="1E1E1E"/>
              <w:bottom w:val="single" w:sz="8" w:color="1E1E1E"/>
            </w:tcBorders>
          </w:tcPr>
          <w:p>
            <w:pPr>
              <w:jc w:val="right"/>
              <w:spacing w:after="0" w:line="197" w:lineRule="exact"/>
              <w:rPr>
                <w:sz w:val="20"/>
                <w:szCs w:val="20"/>
                <w:color w:val="auto"/>
              </w:rPr>
            </w:pPr>
            <w:r>
              <w:rPr>
                <w:rFonts w:ascii="Times New Roman" w:cs="Times New Roman" w:eastAsia="Times New Roman" w:hAnsi="Times New Roman"/>
                <w:sz w:val="18"/>
                <w:szCs w:val="18"/>
                <w:color w:val="1E1E1E"/>
              </w:rPr>
              <w:t>—</w:t>
            </w:r>
          </w:p>
        </w:tc>
        <w:tc>
          <w:tcPr>
            <w:tcW w:w="100" w:type="dxa"/>
            <w:vAlign w:val="bottom"/>
          </w:tcPr>
          <w:p>
            <w:pPr>
              <w:spacing w:after="0"/>
              <w:rPr>
                <w:sz w:val="17"/>
                <w:szCs w:val="17"/>
                <w:color w:val="auto"/>
              </w:rPr>
            </w:pPr>
          </w:p>
        </w:tc>
      </w:tr>
      <w:tr>
        <w:trPr>
          <w:trHeight w:val="197"/>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E1E1E"/>
              </w:rPr>
              <w:t>Supplemental disclosure of non-cash investing activities: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r>
      <w:tr>
        <w:trPr>
          <w:trHeight w:val="188"/>
        </w:trPr>
        <w:tc>
          <w:tcPr>
            <w:tcW w:w="640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color w:val="1E1E1E"/>
              </w:rPr>
              <w:t>Capital expenditures included in accounts payable and accrued expenses and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6400" w:type="dxa"/>
            <w:vAlign w:val="bottom"/>
          </w:tcPr>
          <w:p>
            <w:pPr>
              <w:ind w:left="400"/>
              <w:spacing w:after="0"/>
              <w:rPr>
                <w:sz w:val="20"/>
                <w:szCs w:val="20"/>
                <w:color w:val="auto"/>
              </w:rPr>
            </w:pPr>
            <w:r>
              <w:rPr>
                <w:rFonts w:ascii="Times New Roman" w:cs="Times New Roman" w:eastAsia="Times New Roman" w:hAnsi="Times New Roman"/>
                <w:sz w:val="18"/>
                <w:szCs w:val="18"/>
                <w:color w:val="1E1E1E"/>
              </w:rPr>
              <w:t>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1E1E1E"/>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47</w:t>
            </w:r>
          </w:p>
        </w:tc>
        <w:tc>
          <w:tcPr>
            <w:tcW w:w="26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1E1E1E"/>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1,166</w:t>
            </w:r>
          </w:p>
        </w:tc>
        <w:tc>
          <w:tcPr>
            <w:tcW w:w="26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1E1E1E"/>
              </w:rPr>
              <w:t>654</w:t>
            </w:r>
          </w:p>
        </w:tc>
        <w:tc>
          <w:tcPr>
            <w:tcW w:w="100" w:type="dxa"/>
            <w:vAlign w:val="bottom"/>
          </w:tcPr>
          <w:p>
            <w:pPr>
              <w:spacing w:after="0"/>
              <w:rPr>
                <w:sz w:val="19"/>
                <w:szCs w:val="19"/>
                <w:color w:val="auto"/>
              </w:rPr>
            </w:pPr>
          </w:p>
        </w:tc>
      </w:tr>
      <w:tr>
        <w:trPr>
          <w:trHeight w:val="207"/>
        </w:trPr>
        <w:tc>
          <w:tcPr>
            <w:tcW w:w="6400" w:type="dxa"/>
            <w:vAlign w:val="bottom"/>
            <w:shd w:val="clear" w:color="auto" w:fill="E4E4E4"/>
          </w:tcPr>
          <w:p>
            <w:pPr>
              <w:spacing w:after="0"/>
              <w:rPr>
                <w:sz w:val="20"/>
                <w:szCs w:val="20"/>
                <w:color w:val="auto"/>
              </w:rPr>
            </w:pPr>
            <w:r>
              <w:rPr>
                <w:rFonts w:ascii="Times New Roman" w:cs="Times New Roman" w:eastAsia="Times New Roman" w:hAnsi="Times New Roman"/>
                <w:sz w:val="18"/>
                <w:szCs w:val="18"/>
                <w:b w:val="1"/>
                <w:bCs w:val="1"/>
                <w:color w:val="1E1E1E"/>
              </w:rPr>
              <w:t>Supplemental disclosure of non-cash financing activities:</w:t>
            </w: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00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9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r>
      <w:tr>
        <w:trPr>
          <w:trHeight w:val="186"/>
        </w:trPr>
        <w:tc>
          <w:tcPr>
            <w:tcW w:w="6400" w:type="dxa"/>
            <w:vAlign w:val="bottom"/>
          </w:tcPr>
          <w:p>
            <w:pPr>
              <w:ind w:left="400"/>
              <w:spacing w:after="0" w:line="186" w:lineRule="exact"/>
              <w:rPr>
                <w:sz w:val="20"/>
                <w:szCs w:val="20"/>
                <w:color w:val="auto"/>
              </w:rPr>
            </w:pPr>
            <w:r>
              <w:rPr>
                <w:rFonts w:ascii="Times New Roman" w:cs="Times New Roman" w:eastAsia="Times New Roman" w:hAnsi="Times New Roman"/>
                <w:sz w:val="18"/>
                <w:szCs w:val="18"/>
                <w:color w:val="1E1E1E"/>
              </w:rPr>
              <w:t>Unpaid equity offering costs included in accrued expenses</w:t>
            </w:r>
          </w:p>
        </w:tc>
        <w:tc>
          <w:tcPr>
            <w:tcW w:w="280" w:type="dxa"/>
            <w:vAlign w:val="bottom"/>
          </w:tcPr>
          <w:p>
            <w:pPr>
              <w:jc w:val="right"/>
              <w:ind w:right="90"/>
              <w:spacing w:after="0" w:line="186" w:lineRule="exact"/>
              <w:rPr>
                <w:sz w:val="20"/>
                <w:szCs w:val="20"/>
                <w:color w:val="auto"/>
              </w:rPr>
            </w:pPr>
            <w:r>
              <w:rPr>
                <w:rFonts w:ascii="Times New Roman" w:cs="Times New Roman" w:eastAsia="Times New Roman" w:hAnsi="Times New Roman"/>
                <w:sz w:val="18"/>
                <w:szCs w:val="18"/>
                <w:color w:val="1E1E1E"/>
                <w:w w:val="88"/>
              </w:rPr>
              <w:t>$</w:t>
            </w:r>
          </w:p>
        </w:tc>
        <w:tc>
          <w:tcPr>
            <w:tcW w:w="1240" w:type="dxa"/>
            <w:vAlign w:val="bottom"/>
            <w:gridSpan w:val="2"/>
          </w:tcPr>
          <w:p>
            <w:pPr>
              <w:jc w:val="right"/>
              <w:ind w:right="260"/>
              <w:spacing w:after="0" w:line="186" w:lineRule="exact"/>
              <w:rPr>
                <w:sz w:val="20"/>
                <w:szCs w:val="20"/>
                <w:color w:val="auto"/>
              </w:rPr>
            </w:pPr>
            <w:r>
              <w:rPr>
                <w:rFonts w:ascii="Times New Roman" w:cs="Times New Roman" w:eastAsia="Times New Roman" w:hAnsi="Times New Roman"/>
                <w:sz w:val="18"/>
                <w:szCs w:val="18"/>
                <w:color w:val="1E1E1E"/>
              </w:rPr>
              <w:t>—</w:t>
            </w:r>
          </w:p>
        </w:tc>
        <w:tc>
          <w:tcPr>
            <w:tcW w:w="260" w:type="dxa"/>
            <w:vAlign w:val="bottom"/>
          </w:tcPr>
          <w:p>
            <w:pPr>
              <w:jc w:val="right"/>
              <w:ind w:right="95"/>
              <w:spacing w:after="0" w:line="185" w:lineRule="exact"/>
              <w:rPr>
                <w:sz w:val="20"/>
                <w:szCs w:val="20"/>
                <w:color w:val="auto"/>
              </w:rPr>
            </w:pPr>
            <w:r>
              <w:rPr>
                <w:rFonts w:ascii="Times New Roman" w:cs="Times New Roman" w:eastAsia="Times New Roman" w:hAnsi="Times New Roman"/>
                <w:sz w:val="17"/>
                <w:szCs w:val="17"/>
                <w:color w:val="1E1E1E"/>
                <w:w w:val="70"/>
              </w:rPr>
              <w:t>$</w:t>
            </w:r>
          </w:p>
        </w:tc>
        <w:tc>
          <w:tcPr>
            <w:tcW w:w="1260" w:type="dxa"/>
            <w:vAlign w:val="bottom"/>
            <w:gridSpan w:val="2"/>
          </w:tcPr>
          <w:p>
            <w:pPr>
              <w:jc w:val="right"/>
              <w:ind w:right="260"/>
              <w:spacing w:after="0" w:line="186" w:lineRule="exact"/>
              <w:rPr>
                <w:sz w:val="20"/>
                <w:szCs w:val="20"/>
                <w:color w:val="auto"/>
              </w:rPr>
            </w:pPr>
            <w:r>
              <w:rPr>
                <w:rFonts w:ascii="Times New Roman" w:cs="Times New Roman" w:eastAsia="Times New Roman" w:hAnsi="Times New Roman"/>
                <w:sz w:val="18"/>
                <w:szCs w:val="18"/>
                <w:color w:val="1E1E1E"/>
              </w:rPr>
              <w:t>—</w:t>
            </w:r>
          </w:p>
        </w:tc>
        <w:tc>
          <w:tcPr>
            <w:tcW w:w="280" w:type="dxa"/>
            <w:vAlign w:val="bottom"/>
          </w:tcPr>
          <w:p>
            <w:pPr>
              <w:jc w:val="right"/>
              <w:ind w:right="115"/>
              <w:spacing w:after="0" w:line="185" w:lineRule="exact"/>
              <w:rPr>
                <w:sz w:val="20"/>
                <w:szCs w:val="20"/>
                <w:color w:val="auto"/>
              </w:rPr>
            </w:pPr>
            <w:r>
              <w:rPr>
                <w:rFonts w:ascii="Times New Roman" w:cs="Times New Roman" w:eastAsia="Times New Roman" w:hAnsi="Times New Roman"/>
                <w:sz w:val="17"/>
                <w:szCs w:val="17"/>
                <w:color w:val="1E1E1E"/>
                <w:w w:val="70"/>
              </w:rPr>
              <w:t>$</w:t>
            </w:r>
          </w:p>
        </w:tc>
        <w:tc>
          <w:tcPr>
            <w:tcW w:w="98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1E1E1E"/>
              </w:rPr>
              <w:t>1,299</w:t>
            </w:r>
          </w:p>
        </w:tc>
        <w:tc>
          <w:tcPr>
            <w:tcW w:w="100" w:type="dxa"/>
            <w:vAlign w:val="bottom"/>
          </w:tcPr>
          <w:p>
            <w:pPr>
              <w:spacing w:after="0"/>
              <w:rPr>
                <w:sz w:val="16"/>
                <w:szCs w:val="16"/>
                <w:color w:val="auto"/>
              </w:rPr>
            </w:pPr>
          </w:p>
        </w:tc>
      </w:tr>
    </w:tbl>
    <w:p>
      <w:pPr>
        <w:jc w:val="center"/>
        <w:spacing w:after="0"/>
        <w:rPr>
          <w:sz w:val="20"/>
          <w:szCs w:val="20"/>
          <w:color w:val="auto"/>
        </w:rPr>
      </w:pPr>
      <w:r>
        <w:rPr>
          <w:rFonts w:ascii="Times New Roman" w:cs="Times New Roman" w:eastAsia="Times New Roman" w:hAnsi="Times New Roman"/>
          <w:sz w:val="20"/>
          <w:szCs w:val="20"/>
          <w:color w:val="1E1E1E"/>
        </w:rPr>
        <w:t>See notes to consolidated financial statements</w:t>
      </w:r>
    </w:p>
    <w:p>
      <w:pPr>
        <w:sectPr>
          <w:pgSz w:w="11880" w:h="15480" w:orient="portrait"/>
          <w:cols w:equalWidth="0" w:num="1">
            <w:col w:w="10800"/>
          </w:cols>
          <w:pgMar w:left="540" w:top="7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F-11</w:t>
      </w:r>
    </w:p>
    <w:p>
      <w:pPr>
        <w:sectPr>
          <w:pgSz w:w="11880" w:h="15480" w:orient="portrait"/>
          <w:cols w:equalWidth="0" w:num="1">
            <w:col w:w="10800"/>
          </w:cols>
          <w:pgMar w:left="540" w:top="745" w:right="540" w:bottom="8" w:gutter="0" w:footer="0" w:header="0"/>
          <w:type w:val="continuous"/>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DEFINITIVE HEALTHCARE CORP.</w:t>
      </w:r>
    </w:p>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NOTES TO THE CONSOLIDATED FINANCIAL STATEMENTS</w:t>
      </w:r>
    </w:p>
    <w:p>
      <w:pPr>
        <w:spacing w:after="0" w:line="360"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Description of Business</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or the context otherwise indicates,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Organization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Definitive Healthcare LLC, a subsidiary of Definitive Healthcare Holdings, LLC (“Definitive Holdco”), was founded in</w:t>
      </w:r>
    </w:p>
    <w:p>
      <w:pPr>
        <w:jc w:val="both"/>
        <w:ind w:right="220"/>
        <w:spacing w:after="0" w:line="253" w:lineRule="auto"/>
        <w:rPr>
          <w:sz w:val="20"/>
          <w:szCs w:val="20"/>
          <w:color w:val="auto"/>
        </w:rPr>
      </w:pPr>
      <w:r>
        <w:rPr>
          <w:rFonts w:ascii="Times New Roman" w:cs="Times New Roman" w:eastAsia="Times New Roman" w:hAnsi="Times New Roman"/>
          <w:sz w:val="20"/>
          <w:szCs w:val="20"/>
          <w:color w:val="1E1E1E"/>
        </w:rPr>
        <w:t>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In July 2019, Definitive OpCo acquired a majority of the issued and outstanding units of Definitive HoldCo.</w:t>
      </w:r>
    </w:p>
    <w:p>
      <w:pPr>
        <w:spacing w:after="0" w:line="70"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1E1E1E"/>
        </w:rPr>
        <w:t>In May 2021, Definitive Healthcare Corp. was formed as a Delaware corporation for the purposes of facilitating an IPO and other related transactions in order to carry on the business of Definitive OpCo. Following consummation of the Reorganization Transactions, Definitive OpCo became a subsidiary of Definitive Healthcare Corp.</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Company is headquartered in Framingham, Massachusetts.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Initial Public Offering</w:t>
      </w:r>
    </w:p>
    <w:p>
      <w:pPr>
        <w:spacing w:after="0" w:line="118"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On September 17, 2021, Definitive Healthcare completed its initial public offering (“IPO”), in which it sold 17,888,888 shares of Class A Common Stock (including shares issued pursuant to the exercise in full of the underwriters’ option to purchase additional shares) at a public offering price of $ 27.00 per share for net proceeds of $452.8 million, after deducting underwriters’ discounts and commissions (but excluding other offering expenses and reimbursements).</w:t>
      </w:r>
    </w:p>
    <w:p>
      <w:pPr>
        <w:spacing w:after="0" w:line="70"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9"/>
          <w:szCs w:val="19"/>
          <w:color w:val="1E1E1E"/>
        </w:rPr>
        <w:t>Definitive Healthcare Corp. used net proceeds from the IPO to (i) acquire 14,222,222 newly issued LLC Units from Definitive OpCo; (ii) purchase 1,169,378 LLC Units from certain holders of LLC Units; and (iii) repurchase 2,497,288 shares of Class A Common Stock received by the former shareholders of certain Blocker Companies (as defined below). Definitive OpCo used proceeds from the IPO to pay fees and expenses of approximately $11.4 million incurred in connection with the IPO and the Reorganization Transactions and to repay $199.6 million, inclusive of accrued interest expense, of the outstanding borrowings under our 2019 Credit Agreement, with the remaining proceeds intended to be used for general corporate purposes.</w:t>
      </w:r>
    </w:p>
    <w:p>
      <w:pPr>
        <w:sectPr>
          <w:pgSz w:w="11880" w:h="15480" w:orient="portrait"/>
          <w:cols w:equalWidth="0" w:num="1">
            <w:col w:w="10180"/>
          </w:cols>
          <w:pgMar w:left="820" w:top="803" w:right="8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F-12</w:t>
      </w:r>
    </w:p>
    <w:p>
      <w:pPr>
        <w:sectPr>
          <w:pgSz w:w="11880" w:h="15480" w:orient="portrait"/>
          <w:cols w:equalWidth="0" w:num="1">
            <w:col w:w="10180"/>
          </w:cols>
          <w:pgMar w:left="820" w:top="803" w:right="880" w:bottom="8"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1E1E1E"/>
        </w:rPr>
        <w:t>Reorganization Transactions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LLC Units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83"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E1E1E"/>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spacing w:after="0" w:line="77"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 xml:space="preserve">In connection with the Reorganization Transactions and the IPO, Definitive Healthcare Corp entered into a tax receivable agreement. See Note 19. </w:t>
      </w:r>
      <w:r>
        <w:rPr>
          <w:rFonts w:ascii="Times New Roman" w:cs="Times New Roman" w:eastAsia="Times New Roman" w:hAnsi="Times New Roman"/>
          <w:sz w:val="20"/>
          <w:szCs w:val="20"/>
          <w:i w:val="1"/>
          <w:iCs w:val="1"/>
          <w:color w:val="1E1E1E"/>
        </w:rPr>
        <w:t>Income Taxes</w:t>
      </w:r>
      <w:r>
        <w:rPr>
          <w:rFonts w:ascii="Times New Roman" w:cs="Times New Roman" w:eastAsia="Times New Roman" w:hAnsi="Times New Roman"/>
          <w:sz w:val="20"/>
          <w:szCs w:val="20"/>
          <w:color w:val="1E1E1E"/>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Follow-On Offering</w:t>
      </w:r>
    </w:p>
    <w:p>
      <w:pPr>
        <w:spacing w:after="0" w:line="118"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1E1E1E"/>
        </w:rPr>
        <w:t>On November 22, 2021, Definitive Healthcare Corp. completed a follow-on offering, in which it sold 11,000,000 shares of Class A Common Stock at a public offering price of $ 36.00 per share for net proceeds of $382.1 million, after deducting underwriters’ discounts and commissions (but excluding other offering expenses and reimbursements).</w:t>
      </w:r>
    </w:p>
    <w:p>
      <w:pPr>
        <w:spacing w:after="0" w:line="65"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1E1E1E"/>
        </w:rPr>
        <w:t>Definitive Healthcare Corp. used net proceeds from the follow-on offering to (i) acquire 7,000,000 newly issued LLC Units from Definitive OpCo; (ii) purchase 1,766,762 LLC Units from certain holders of LLC Units; and (iii) repurchase 2,233,238 shares of Class A Common Stock received by the former shareholders of certain Blocker Companies. Definitive OpCo used net proceeds from the follow-on offering to pay fees and expenses of approximately $1.6 million incurred in connection with the follow-on offering, with the remaining proceeds intended to be used for general corporate purposes.</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F-13</w:t>
      </w:r>
    </w:p>
    <w:p>
      <w:pPr>
        <w:sectPr>
          <w:pgSz w:w="11880" w:h="15480" w:orient="portrait"/>
          <w:cols w:equalWidth="0" w:num="1">
            <w:col w:w="10220"/>
          </w:cols>
          <w:pgMar w:left="820" w:top="808" w:right="840" w:bottom="8" w:gutter="0" w:footer="0" w:header="0"/>
          <w:type w:val="continuous"/>
        </w:sectPr>
      </w:pPr>
    </w:p>
    <w:bookmarkStart w:id="97" w:name="page98"/>
    <w:bookmarkEnd w:id="97"/>
    <w:p>
      <w:pPr>
        <w:ind w:right="5960" w:firstLine="8"/>
        <w:spacing w:after="0" w:line="366" w:lineRule="auto"/>
        <w:tabs>
          <w:tab w:leader="none" w:pos="490" w:val="left"/>
        </w:tabs>
        <w:numPr>
          <w:ilvl w:val="0"/>
          <w:numId w:val="3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Summary of Significant Accounting Policies </w:t>
      </w:r>
      <w:r>
        <w:rPr>
          <w:rFonts w:ascii="Times New Roman" w:cs="Times New Roman" w:eastAsia="Times New Roman" w:hAnsi="Times New Roman"/>
          <w:sz w:val="20"/>
          <w:szCs w:val="20"/>
          <w:b w:val="1"/>
          <w:bCs w:val="1"/>
          <w:i w:val="1"/>
          <w:iCs w:val="1"/>
          <w:color w:val="1E1E1E"/>
        </w:rPr>
        <w:t>Basis of Presentation</w:t>
      </w:r>
    </w:p>
    <w:p>
      <w:pPr>
        <w:spacing w:after="0" w:line="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Principles of Consolidation</w:t>
      </w:r>
    </w:p>
    <w:p>
      <w:pPr>
        <w:spacing w:after="0" w:line="118" w:lineRule="exact"/>
        <w:rPr>
          <w:sz w:val="20"/>
          <w:szCs w:val="20"/>
          <w:color w:val="auto"/>
        </w:rPr>
      </w:pPr>
    </w:p>
    <w:p>
      <w:pPr>
        <w:ind w:right="700" w:firstLine="490"/>
        <w:spacing w:after="0" w:line="279" w:lineRule="auto"/>
        <w:rPr>
          <w:sz w:val="20"/>
          <w:szCs w:val="20"/>
          <w:color w:val="auto"/>
        </w:rPr>
      </w:pPr>
      <w:r>
        <w:rPr>
          <w:rFonts w:ascii="Times New Roman" w:cs="Times New Roman" w:eastAsia="Times New Roman" w:hAnsi="Times New Roman"/>
          <w:sz w:val="20"/>
          <w:szCs w:val="20"/>
          <w:color w:val="1E1E1E"/>
        </w:rPr>
        <w:t>The consolidated financial statements include the accounts of the Company and its consolidated subsidiaries. All significant intercompany accounts and transactions have been eliminated in 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Use of Estimates in the Preparation of Financial Statements</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Restatement of Previously Issued Financial Statements</w:t>
      </w:r>
    </w:p>
    <w:p>
      <w:pPr>
        <w:spacing w:after="0" w:line="118" w:lineRule="exact"/>
        <w:rPr>
          <w:sz w:val="20"/>
          <w:szCs w:val="20"/>
          <w:color w:val="auto"/>
        </w:rPr>
      </w:pPr>
    </w:p>
    <w:p>
      <w:pPr>
        <w:ind w:right="20" w:firstLine="490"/>
        <w:spacing w:after="0"/>
        <w:rPr>
          <w:sz w:val="20"/>
          <w:szCs w:val="20"/>
          <w:color w:val="auto"/>
        </w:rPr>
      </w:pPr>
      <w:r>
        <w:rPr>
          <w:rFonts w:ascii="Times New Roman" w:cs="Times New Roman" w:eastAsia="Times New Roman" w:hAnsi="Times New Roman"/>
          <w:sz w:val="20"/>
          <w:szCs w:val="20"/>
          <w:color w:val="1E1E1E"/>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each affected period. The original accrual amounts assumed that (i) customers who have not provided certificates or other documentation of exemption from sales tax are taxable,</w:t>
      </w:r>
    </w:p>
    <w:p>
      <w:pPr>
        <w:ind w:right="80" w:firstLine="8"/>
        <w:spacing w:after="0" w:line="247" w:lineRule="auto"/>
        <w:tabs>
          <w:tab w:leader="none" w:pos="294" w:val="left"/>
        </w:tabs>
        <w:numPr>
          <w:ilvl w:val="0"/>
          <w:numId w:val="3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maximum interest and penalty assessments may be imposed, and (iii) the Company will not receive waivers of interest and penalties or other benefits under agreements it may obtain with jurisdictions from outreach with voluntarily disclosures. These accrual amounts have been, and will continue to be, adjusted as the Company enters into voluntary disclosure agreements with the applicable jurisdictions. The Company will continue to accrue interest on any outstanding liabilities until the voluntary disclosure agreements are settled. The misstatements that appeared in the previously issued financial statements were material, and the Company also corrected other immaterial errors.</w:t>
      </w:r>
    </w:p>
    <w:p>
      <w:pPr>
        <w:spacing w:after="0" w:line="8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1E1E1E"/>
        </w:rPr>
        <w:t>As described in additional detail in the Explanatory Note in the Company's Amendment No. 1 on Form 10-K/A to its Annual Report on Form 10-K for the year ended December 31, 2022 filed with the SEC on August 14, 2023, the Company restated its audited consolidated financial statements as of and for the years ended December 31, 2022, 2021 and 2020, as well as the unaudited condensed consolidated quarterly financial information for the quarterly periods in the fiscal years ended December 31, 2022, 2021, and 2020, to reflect the correction of the misstatements and other immaterial adjustments, and to make corresponding disclosures. The Company also filed an Amendment No. 1 on Form 10-Q/A to amend the Quarterly Report on Form 10-Q for the three months ended March 31, 2023 with the SEC on August 14, 2023, to restate its unaudited condensed consolidated financial statements for the three months ended March 31, 2023 and 2022.</w:t>
      </w:r>
    </w:p>
    <w:p>
      <w:pPr>
        <w:spacing w:after="0" w:line="82"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The restated prior-year results are reflected in the consolidated financial results disclosed within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 Recognition</w:t>
      </w:r>
    </w:p>
    <w:p>
      <w:pPr>
        <w:spacing w:after="0" w:line="118"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F-14</w:t>
      </w:r>
    </w:p>
    <w:p>
      <w:pPr>
        <w:sectPr>
          <w:pgSz w:w="11880" w:h="15480" w:orient="portrait"/>
          <w:cols w:equalWidth="0" w:num="1">
            <w:col w:w="10220"/>
          </w:cols>
          <w:pgMar w:left="820" w:top="803" w:right="840" w:bottom="8" w:gutter="0" w:footer="0" w:header="0"/>
          <w:type w:val="continuous"/>
        </w:sectPr>
      </w:pPr>
    </w:p>
    <w:bookmarkStart w:id="98" w:name="page99"/>
    <w:bookmarkEnd w:id="98"/>
    <w:p>
      <w:pPr>
        <w:ind w:right="400" w:firstLine="490"/>
        <w:spacing w:after="0" w:line="253" w:lineRule="auto"/>
        <w:rPr>
          <w:sz w:val="20"/>
          <w:szCs w:val="20"/>
          <w:color w:val="auto"/>
        </w:rPr>
      </w:pPr>
      <w:r>
        <w:rPr>
          <w:rFonts w:ascii="Times New Roman" w:cs="Times New Roman" w:eastAsia="Times New Roman" w:hAnsi="Times New Roman"/>
          <w:sz w:val="20"/>
          <w:szCs w:val="20"/>
          <w:color w:val="1E1E1E"/>
        </w:rPr>
        <w:t>The Company recognizes revenue in accordance with ASC 606–</w:t>
      </w:r>
      <w:r>
        <w:rPr>
          <w:rFonts w:ascii="Times New Roman" w:cs="Times New Roman" w:eastAsia="Times New Roman" w:hAnsi="Times New Roman"/>
          <w:sz w:val="20"/>
          <w:szCs w:val="20"/>
          <w:i w:val="1"/>
          <w:iCs w:val="1"/>
          <w:color w:val="1E1E1E"/>
        </w:rPr>
        <w:t>Revenue from Contracts with Customers</w:t>
      </w:r>
      <w:r>
        <w:rPr>
          <w:rFonts w:ascii="Times New Roman" w:cs="Times New Roman" w:eastAsia="Times New Roman" w:hAnsi="Times New Roman"/>
          <w:sz w:val="20"/>
          <w:szCs w:val="20"/>
          <w:color w:val="1E1E1E"/>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90" w:lineRule="exact"/>
        <w:rPr>
          <w:sz w:val="20"/>
          <w:szCs w:val="20"/>
          <w:color w:val="auto"/>
        </w:rPr>
      </w:pPr>
    </w:p>
    <w:p>
      <w:pPr>
        <w:jc w:val="both"/>
        <w:ind w:right="200" w:firstLine="490"/>
        <w:spacing w:after="0" w:line="259" w:lineRule="auto"/>
        <w:rPr>
          <w:sz w:val="20"/>
          <w:szCs w:val="20"/>
          <w:color w:val="auto"/>
        </w:rPr>
      </w:pPr>
      <w:r>
        <w:rPr>
          <w:rFonts w:ascii="Times New Roman" w:cs="Times New Roman" w:eastAsia="Times New Roman" w:hAnsi="Times New Roman"/>
          <w:sz w:val="20"/>
          <w:szCs w:val="20"/>
          <w:color w:val="1E1E1E"/>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5"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1E1E1E"/>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w:t>
      </w:r>
    </w:p>
    <w:p>
      <w:pPr>
        <w:spacing w:after="0" w:line="185" w:lineRule="exact"/>
        <w:rPr>
          <w:sz w:val="20"/>
          <w:szCs w:val="20"/>
          <w:color w:val="auto"/>
        </w:rPr>
      </w:pPr>
    </w:p>
    <w:p>
      <w:pPr>
        <w:ind w:right="400" w:firstLine="490"/>
        <w:spacing w:after="0" w:line="253" w:lineRule="auto"/>
        <w:rPr>
          <w:sz w:val="20"/>
          <w:szCs w:val="20"/>
          <w:color w:val="auto"/>
        </w:rPr>
      </w:pPr>
      <w:r>
        <w:rPr>
          <w:rFonts w:ascii="Times New Roman" w:cs="Times New Roman" w:eastAsia="Times New Roman" w:hAnsi="Times New Roman"/>
          <w:sz w:val="20"/>
          <w:szCs w:val="20"/>
          <w:color w:val="1E1E1E"/>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9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E1E1E"/>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20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E1E1E"/>
        </w:rPr>
        <w:t>The Company's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Fair Value Measurements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97" w:lineRule="exact"/>
        <w:rPr>
          <w:sz w:val="20"/>
          <w:szCs w:val="20"/>
          <w:color w:val="auto"/>
        </w:rPr>
      </w:pPr>
    </w:p>
    <w:p>
      <w:pPr>
        <w:ind w:left="500" w:right="580"/>
        <w:spacing w:after="0"/>
        <w:rPr>
          <w:sz w:val="20"/>
          <w:szCs w:val="20"/>
          <w:color w:val="auto"/>
        </w:rPr>
      </w:pPr>
      <w:r>
        <w:rPr>
          <w:rFonts w:ascii="Times New Roman" w:cs="Times New Roman" w:eastAsia="Times New Roman" w:hAnsi="Times New Roman"/>
          <w:sz w:val="20"/>
          <w:szCs w:val="20"/>
          <w:color w:val="1E1E1E"/>
        </w:rPr>
        <w:t>Level 1 - Observable inputs that reflect unadjusted quoted prices in active markets for identical assets or liabilities Level 2 - Other inputs that are directly or indirectly observable in the marketplace</w:t>
      </w:r>
    </w:p>
    <w:p>
      <w:pPr>
        <w:ind w:right="920" w:firstLine="490"/>
        <w:spacing w:after="0" w:line="279" w:lineRule="auto"/>
        <w:rPr>
          <w:sz w:val="20"/>
          <w:szCs w:val="20"/>
          <w:color w:val="auto"/>
        </w:rPr>
      </w:pPr>
      <w:r>
        <w:rPr>
          <w:rFonts w:ascii="Times New Roman" w:cs="Times New Roman" w:eastAsia="Times New Roman" w:hAnsi="Times New Roman"/>
          <w:sz w:val="20"/>
          <w:szCs w:val="20"/>
          <w:color w:val="1E1E1E"/>
        </w:rPr>
        <w:t>Level 3 - Unobservable inputs that are supported by little or no market activity, including the Company’s own assumptions in determining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and Cash Equivalents</w:t>
      </w:r>
    </w:p>
    <w:p>
      <w:pPr>
        <w:spacing w:after="0" w:line="118"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20"/>
          <w:szCs w:val="20"/>
          <w:color w:val="1E1E1E"/>
        </w:rPr>
        <w:t>The Company considers all short-term, highly liquid investments with an original maturity of three months or less to be cash and cash equivalents.</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F-15</w:t>
      </w:r>
    </w:p>
    <w:p>
      <w:pPr>
        <w:sectPr>
          <w:pgSz w:w="11880" w:h="15480" w:orient="portrait"/>
          <w:cols w:equalWidth="0" w:num="1">
            <w:col w:w="10220"/>
          </w:cols>
          <w:pgMar w:left="820" w:top="806" w:right="840" w:bottom="8"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1E1E1E"/>
        </w:rPr>
        <w:t>Marketable Securities</w:t>
      </w:r>
    </w:p>
    <w:p>
      <w:pPr>
        <w:spacing w:after="0" w:line="118" w:lineRule="exact"/>
        <w:rPr>
          <w:sz w:val="20"/>
          <w:szCs w:val="20"/>
          <w:color w:val="auto"/>
        </w:rPr>
      </w:pPr>
    </w:p>
    <w:p>
      <w:pPr>
        <w:ind w:right="60" w:firstLine="540"/>
        <w:spacing w:after="0" w:line="249" w:lineRule="auto"/>
        <w:rPr>
          <w:sz w:val="20"/>
          <w:szCs w:val="20"/>
          <w:color w:val="auto"/>
        </w:rPr>
      </w:pPr>
      <w:r>
        <w:rPr>
          <w:rFonts w:ascii="Times New Roman" w:cs="Times New Roman" w:eastAsia="Times New Roman" w:hAnsi="Times New Roman"/>
          <w:sz w:val="20"/>
          <w:szCs w:val="20"/>
          <w:color w:val="1E1E1E"/>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Concentration of Credit Risk and Significant Customers</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200"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1E1E1E"/>
        </w:rPr>
        <w:t>Concentrations of credit risk with respect to trade account receivables are limited due to the large number of customers comprising the Company’s customer base. No single customer accounted for more than 10% of total net sales or receivables in 2023, 2022 or 2021.</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Accounts Receivable, Net and Contract Assets</w:t>
      </w:r>
    </w:p>
    <w:p>
      <w:pPr>
        <w:spacing w:after="0" w:line="11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2023 and 2022, the allowance for doubtful accounts was $2.3 million and $1.9 million, respectively.</w:t>
      </w:r>
    </w:p>
    <w:p>
      <w:pPr>
        <w:spacing w:after="0" w:line="200"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1E1E1E"/>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Deferred Contract Costs</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9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two years, which reflects the average renewal period. Renewal contracts with a term of one year or less are expensed.</w:t>
      </w:r>
    </w:p>
    <w:p>
      <w:pPr>
        <w:spacing w:after="0" w:line="197" w:lineRule="exact"/>
        <w:rPr>
          <w:sz w:val="20"/>
          <w:szCs w:val="20"/>
          <w:color w:val="auto"/>
        </w:rPr>
      </w:pPr>
    </w:p>
    <w:p>
      <w:pPr>
        <w:jc w:val="both"/>
        <w:ind w:right="160" w:firstLine="490"/>
        <w:spacing w:after="0" w:line="253" w:lineRule="auto"/>
        <w:rPr>
          <w:sz w:val="20"/>
          <w:szCs w:val="20"/>
          <w:color w:val="auto"/>
        </w:rPr>
      </w:pPr>
      <w:r>
        <w:rPr>
          <w:rFonts w:ascii="Times New Roman" w:cs="Times New Roman" w:eastAsia="Times New Roman" w:hAnsi="Times New Roman"/>
          <w:sz w:val="20"/>
          <w:szCs w:val="20"/>
          <w:color w:val="1E1E1E"/>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 impairments of these costs in the years ended December 31, 2023, 2022 or 2021.</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F-16</w:t>
      </w:r>
    </w:p>
    <w:p>
      <w:pPr>
        <w:sectPr>
          <w:pgSz w:w="11880" w:h="15480" w:orient="portrait"/>
          <w:cols w:equalWidth="0" w:num="1">
            <w:col w:w="10220"/>
          </w:cols>
          <w:pgMar w:left="820" w:top="808" w:right="840" w:bottom="8"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1E1E1E"/>
        </w:rPr>
        <w:t>Property and Equipment, Net</w:t>
      </w:r>
    </w:p>
    <w:p>
      <w:pPr>
        <w:spacing w:after="0" w:line="118"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Property and equipment are stated at cost, net of accumulated depreciation and amortization. The assets are depreciated on a straight-line basis over the estimated useful lives as follows:</w:t>
      </w:r>
    </w:p>
    <w:p>
      <w:pPr>
        <w:spacing w:after="0" w:line="201" w:lineRule="exact"/>
        <w:rPr>
          <w:sz w:val="20"/>
          <w:szCs w:val="20"/>
          <w:color w:val="auto"/>
        </w:rPr>
      </w:pPr>
    </w:p>
    <w:p>
      <w:pPr>
        <w:ind w:left="1440"/>
        <w:spacing w:after="0"/>
        <w:tabs>
          <w:tab w:leader="none" w:pos="4980" w:val="left"/>
        </w:tabs>
        <w:rPr>
          <w:sz w:val="20"/>
          <w:szCs w:val="20"/>
          <w:color w:val="auto"/>
        </w:rPr>
      </w:pPr>
      <w:r>
        <w:rPr>
          <w:rFonts w:ascii="Times New Roman" w:cs="Times New Roman" w:eastAsia="Times New Roman" w:hAnsi="Times New Roman"/>
          <w:sz w:val="20"/>
          <w:szCs w:val="20"/>
          <w:color w:val="1E1E1E"/>
        </w:rPr>
        <w:t>Furniture and equipment</w:t>
      </w:r>
      <w:r>
        <w:rPr>
          <w:sz w:val="20"/>
          <w:szCs w:val="20"/>
          <w:color w:val="auto"/>
        </w:rPr>
        <w:tab/>
      </w:r>
      <w:r>
        <w:rPr>
          <w:rFonts w:ascii="Times New Roman" w:cs="Times New Roman" w:eastAsia="Times New Roman" w:hAnsi="Times New Roman"/>
          <w:sz w:val="20"/>
          <w:szCs w:val="20"/>
          <w:color w:val="1E1E1E"/>
        </w:rPr>
        <w:t>5 years</w:t>
      </w:r>
    </w:p>
    <w:p>
      <w:pPr>
        <w:ind w:left="1440"/>
        <w:spacing w:after="0"/>
        <w:tabs>
          <w:tab w:leader="none" w:pos="4980" w:val="left"/>
        </w:tabs>
        <w:rPr>
          <w:sz w:val="20"/>
          <w:szCs w:val="20"/>
          <w:color w:val="auto"/>
        </w:rPr>
      </w:pPr>
      <w:r>
        <w:rPr>
          <w:rFonts w:ascii="Times New Roman" w:cs="Times New Roman" w:eastAsia="Times New Roman" w:hAnsi="Times New Roman"/>
          <w:sz w:val="20"/>
          <w:szCs w:val="20"/>
          <w:color w:val="1E1E1E"/>
        </w:rPr>
        <w:t>Computers and software</w:t>
      </w:r>
      <w:r>
        <w:rPr>
          <w:sz w:val="20"/>
          <w:szCs w:val="20"/>
          <w:color w:val="auto"/>
        </w:rPr>
        <w:tab/>
      </w:r>
      <w:r>
        <w:rPr>
          <w:rFonts w:ascii="Times New Roman" w:cs="Times New Roman" w:eastAsia="Times New Roman" w:hAnsi="Times New Roman"/>
          <w:sz w:val="20"/>
          <w:szCs w:val="20"/>
          <w:color w:val="1E1E1E"/>
        </w:rPr>
        <w:t>3 years</w:t>
      </w:r>
    </w:p>
    <w:p>
      <w:pPr>
        <w:ind w:left="1440"/>
        <w:spacing w:after="0"/>
        <w:tabs>
          <w:tab w:leader="none" w:pos="4980" w:val="left"/>
        </w:tabs>
        <w:rPr>
          <w:sz w:val="20"/>
          <w:szCs w:val="20"/>
          <w:color w:val="auto"/>
        </w:rPr>
      </w:pPr>
      <w:r>
        <w:rPr>
          <w:rFonts w:ascii="Times New Roman" w:cs="Times New Roman" w:eastAsia="Times New Roman" w:hAnsi="Times New Roman"/>
          <w:sz w:val="20"/>
          <w:szCs w:val="20"/>
          <w:color w:val="1E1E1E"/>
        </w:rPr>
        <w:t>Leasehold improvements</w:t>
      </w:r>
      <w:r>
        <w:rPr>
          <w:sz w:val="20"/>
          <w:szCs w:val="20"/>
          <w:color w:val="auto"/>
        </w:rPr>
        <w:tab/>
      </w:r>
      <w:r>
        <w:rPr>
          <w:rFonts w:ascii="Times New Roman" w:cs="Times New Roman" w:eastAsia="Times New Roman" w:hAnsi="Times New Roman"/>
          <w:sz w:val="20"/>
          <w:szCs w:val="20"/>
          <w:color w:val="1E1E1E"/>
        </w:rPr>
        <w:t>Lesser of the asset life or lease term</w:t>
      </w:r>
    </w:p>
    <w:p>
      <w:pPr>
        <w:spacing w:after="0" w:line="240" w:lineRule="exact"/>
        <w:rPr>
          <w:sz w:val="20"/>
          <w:szCs w:val="20"/>
          <w:color w:val="auto"/>
        </w:rPr>
      </w:pPr>
    </w:p>
    <w:p>
      <w:pPr>
        <w:ind w:right="460" w:firstLine="490"/>
        <w:spacing w:after="0" w:line="253" w:lineRule="auto"/>
        <w:rPr>
          <w:sz w:val="20"/>
          <w:szCs w:val="20"/>
          <w:color w:val="auto"/>
        </w:rPr>
      </w:pPr>
      <w:r>
        <w:rPr>
          <w:rFonts w:ascii="Times New Roman" w:cs="Times New Roman" w:eastAsia="Times New Roman" w:hAnsi="Times New Roman"/>
          <w:sz w:val="20"/>
          <w:szCs w:val="20"/>
          <w:color w:val="1E1E1E"/>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Leases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8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Derivative Instruments and Hedging Activities</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measures the credit risk of its derivative financial instruments that are subject to master netting agreements on a net basis by counterparty portfolio.</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Advertising and Promotional Expenses</w:t>
      </w:r>
    </w:p>
    <w:p>
      <w:pPr>
        <w:spacing w:after="0" w:line="118"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1E1E1E"/>
        </w:rPr>
        <w:t>The Company expenses advertising costs as incurred in accordance with ASC 720—</w:t>
      </w:r>
      <w:r>
        <w:rPr>
          <w:rFonts w:ascii="Times New Roman" w:cs="Times New Roman" w:eastAsia="Times New Roman" w:hAnsi="Times New Roman"/>
          <w:sz w:val="20"/>
          <w:szCs w:val="20"/>
          <w:i w:val="1"/>
          <w:iCs w:val="1"/>
          <w:color w:val="1E1E1E"/>
        </w:rPr>
        <w:t>Other Expenses – Advertising Cost</w:t>
      </w:r>
      <w:r>
        <w:rPr>
          <w:rFonts w:ascii="Times New Roman" w:cs="Times New Roman" w:eastAsia="Times New Roman" w:hAnsi="Times New Roman"/>
          <w:sz w:val="20"/>
          <w:szCs w:val="20"/>
          <w:color w:val="1E1E1E"/>
        </w:rPr>
        <w:t>. Advertising expenses of $1.6 million, $1.6 million and $0.9 million for the years ended December 31, 2023, 2022 and 2021, respectively, are included in sales and marketing expenses on the consolidated statements of operations.</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F-17</w:t>
      </w:r>
    </w:p>
    <w:p>
      <w:pPr>
        <w:sectPr>
          <w:pgSz w:w="11880" w:h="15480" w:orient="portrait"/>
          <w:cols w:equalWidth="0" w:num="1">
            <w:col w:w="10220"/>
          </w:cols>
          <w:pgMar w:left="820" w:top="808" w:right="840" w:bottom="8"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i w:val="1"/>
          <w:iCs w:val="1"/>
          <w:color w:val="1E1E1E"/>
        </w:rPr>
        <w:t>Software Development Costs</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E1E1E"/>
        </w:rPr>
        <w:t xml:space="preserve">The Company accounts for its software development costs in accordance with the guidance set forth in ASC 350-40— </w:t>
      </w:r>
      <w:r>
        <w:rPr>
          <w:rFonts w:ascii="Times New Roman" w:cs="Times New Roman" w:eastAsia="Times New Roman" w:hAnsi="Times New Roman"/>
          <w:sz w:val="20"/>
          <w:szCs w:val="20"/>
          <w:i w:val="1"/>
          <w:iCs w:val="1"/>
          <w:color w:val="1E1E1E"/>
        </w:rPr>
        <w:t xml:space="preserve">Intangibles – Goodwill and Other – Internal Use Software. </w:t>
      </w:r>
      <w:r>
        <w:rPr>
          <w:rFonts w:ascii="Times New Roman" w:cs="Times New Roman" w:eastAsia="Times New Roman" w:hAnsi="Times New Roman"/>
          <w:sz w:val="20"/>
          <w:szCs w:val="20"/>
          <w:color w:val="1E1E1E"/>
        </w:rPr>
        <w:t>The Company capitalizes costs to develop software for internal use</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incurred during the application development stage. Costs related to preliminary project activities and post implementation activities are expensed as incurred. Capitalized costs of $1.6 million and $1.0 million for the years ended December 31, 2023 and 2022, respectively, are included in property and equipment, net.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Acquisitions</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E1E1E"/>
        </w:rPr>
        <w:t xml:space="preserve">The Company accounts for business combinations using the acquisition method in accordance with ASC 805, </w:t>
      </w:r>
      <w:r>
        <w:rPr>
          <w:rFonts w:ascii="Times New Roman" w:cs="Times New Roman" w:eastAsia="Times New Roman" w:hAnsi="Times New Roman"/>
          <w:sz w:val="20"/>
          <w:szCs w:val="20"/>
          <w:i w:val="1"/>
          <w:iCs w:val="1"/>
          <w:color w:val="1E1E1E"/>
        </w:rPr>
        <w:t>Business</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Combinations</w:t>
      </w:r>
      <w:r>
        <w:rPr>
          <w:rFonts w:ascii="Times New Roman" w:cs="Times New Roman" w:eastAsia="Times New Roman" w:hAnsi="Times New Roman"/>
          <w:sz w:val="20"/>
          <w:szCs w:val="20"/>
          <w:color w:val="1E1E1E"/>
        </w:rPr>
        <w:t>. Each acquired company’s operating results are included in the Company’s consolidated financial statements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8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77"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 and Intangible Assets</w:t>
      </w:r>
    </w:p>
    <w:p>
      <w:pPr>
        <w:spacing w:after="0" w:line="118"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the Company's market capitalization plus an appropriate control premium. Market capitalization is determined by multiplying the number of shares of Class A Common Stock outstanding by the market price of the Company's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The Company performs its annual impairment assessment in the first month of the fourth quarter of each calendar year.</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F-18</w:t>
      </w:r>
    </w:p>
    <w:p>
      <w:pPr>
        <w:sectPr>
          <w:pgSz w:w="11880" w:h="15480" w:orient="portrait"/>
          <w:cols w:equalWidth="0" w:num="1">
            <w:col w:w="10220"/>
          </w:cols>
          <w:pgMar w:left="820" w:top="808" w:right="840" w:bottom="8" w:gutter="0" w:footer="0" w:header="0"/>
          <w:type w:val="continuous"/>
        </w:sectPr>
      </w:pPr>
    </w:p>
    <w:bookmarkStart w:id="102" w:name="page103"/>
    <w:bookmarkEnd w:id="102"/>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Customer relationships</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1E1E1E"/>
                <w:w w:val="96"/>
              </w:rPr>
              <w:t>14 – 20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Technology</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1E1E1E"/>
                <w:w w:val="99"/>
              </w:rPr>
              <w:t>6</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 8 years</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Tradenames / trademark</w:t>
            </w:r>
          </w:p>
        </w:tc>
        <w:tc>
          <w:tcPr>
            <w:tcW w:w="1460" w:type="dxa"/>
            <w:vAlign w:val="bottom"/>
          </w:tcPr>
          <w:p>
            <w:pPr>
              <w:ind w:left="1340"/>
              <w:spacing w:after="0"/>
              <w:rPr>
                <w:sz w:val="20"/>
                <w:szCs w:val="20"/>
                <w:color w:val="auto"/>
              </w:rPr>
            </w:pPr>
            <w:r>
              <w:rPr>
                <w:rFonts w:ascii="Times New Roman" w:cs="Times New Roman" w:eastAsia="Times New Roman" w:hAnsi="Times New Roman"/>
                <w:sz w:val="20"/>
                <w:szCs w:val="20"/>
                <w:color w:val="1E1E1E"/>
                <w:w w:val="99"/>
              </w:rPr>
              <w:t>5</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1E1E1E"/>
              </w:rPr>
              <w:t>– 19 years</w:t>
            </w:r>
          </w:p>
        </w:tc>
      </w:tr>
      <w:tr>
        <w:trPr>
          <w:trHeight w:val="268"/>
        </w:trPr>
        <w:tc>
          <w:tcPr>
            <w:tcW w:w="3280" w:type="dxa"/>
            <w:vAlign w:val="bottom"/>
          </w:tcPr>
          <w:p>
            <w:pPr>
              <w:spacing w:after="0"/>
              <w:rPr>
                <w:sz w:val="20"/>
                <w:szCs w:val="20"/>
                <w:color w:val="auto"/>
              </w:rPr>
            </w:pPr>
            <w:r>
              <w:rPr>
                <w:rFonts w:ascii="Times New Roman" w:cs="Times New Roman" w:eastAsia="Times New Roman" w:hAnsi="Times New Roman"/>
                <w:sz w:val="20"/>
                <w:szCs w:val="20"/>
                <w:color w:val="1E1E1E"/>
              </w:rPr>
              <w:t>Data</w:t>
            </w:r>
          </w:p>
        </w:tc>
        <w:tc>
          <w:tcPr>
            <w:tcW w:w="240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1E1E1E"/>
              </w:rPr>
              <w:t>3 years</w:t>
            </w:r>
          </w:p>
        </w:tc>
      </w:tr>
    </w:tbl>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During the quarter ended September 30, 2023, the Company experienced a sustained decline in its stock price and market capitalization, which represented a triggering event requiring management to perform a goodwill impairment test as of September 30, 2023. As a result of the Company’s impairment test, the Company determined that the fair value of its single reporting unit was lower than its carrying value and, accordingly, recorded a non-cash, pretax, goodwill impairment charge of $287.4 million. The goodwill impairment charge did not affect the Company’s liquidity or the financial covenants in its outstanding debt agreement.</w:t>
      </w:r>
    </w:p>
    <w:p>
      <w:pPr>
        <w:spacing w:after="0" w:line="20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1E1E1E"/>
        </w:rPr>
        <w:t xml:space="preserve">During the quarter ended December 31, 2023, the Company performed a quantitative assessment and concluded that the fair value of its single reporting unit exceeded its carrying value as of December 31, 2023. The Company will continue to monitor for potential impairment should impairment indicators arise. Refer to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 xml:space="preserve"> for further details.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Impairment of Long-Lived Assets</w:t>
      </w:r>
    </w:p>
    <w:p>
      <w:pPr>
        <w:spacing w:after="0" w:line="11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E1E1E"/>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Deferred Revenue</w:t>
      </w:r>
    </w:p>
    <w:p>
      <w:pPr>
        <w:spacing w:after="0" w:line="118"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1E1E1E"/>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Debt Issuance Costs</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2023 and 2022, the Company had $1.5 million and $2.0 million, respectively, of unamortized deferred financing costs related to its non-revolving credit facilities, and $0.4 million and $0.6 million, respectively, of unamortized deferred financing costs related to its revolving credit facility.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Sales Tax</w:t>
      </w:r>
    </w:p>
    <w:p>
      <w:pPr>
        <w:spacing w:after="0" w:line="11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 Any amounts payable, inclusive of interest and penalties, to taxation authorities in which the Company did not charge the customer for sales taxes is recorded within general and administrative expenses in the consolidated statements of operations and is included in accrued expenses and other current liabilities in the consolidated balance sheets.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F-19</w:t>
      </w:r>
    </w:p>
    <w:p>
      <w:pPr>
        <w:sectPr>
          <w:pgSz w:w="11880" w:h="15480" w:orient="portrait"/>
          <w:cols w:equalWidth="0" w:num="1">
            <w:col w:w="10220"/>
          </w:cols>
          <w:pgMar w:left="820" w:top="806" w:right="840" w:bottom="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118"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1E1E1E"/>
        </w:rPr>
        <w:t>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w:t>
      </w:r>
    </w:p>
    <w:p>
      <w:pPr>
        <w:spacing w:after="0" w:line="7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AW and its wholly 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w:t>
      </w:r>
    </w:p>
    <w:p>
      <w:pPr>
        <w:spacing w:after="0" w:line="7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E1E1E"/>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the Company expects to be significant. The Company anticipates that it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Further, the Company accounts for amounts payable under the Tax Receivable Agreement in accordance with ASC 450—</w:t>
      </w:r>
      <w:r>
        <w:rPr>
          <w:rFonts w:ascii="Times New Roman" w:cs="Times New Roman" w:eastAsia="Times New Roman" w:hAnsi="Times New Roman"/>
          <w:sz w:val="20"/>
          <w:szCs w:val="20"/>
          <w:i w:val="1"/>
          <w:iCs w:val="1"/>
          <w:color w:val="1E1E1E"/>
        </w:rPr>
        <w:t>Contingencies</w:t>
      </w:r>
      <w:r>
        <w:rPr>
          <w:rFonts w:ascii="Times New Roman" w:cs="Times New Roman" w:eastAsia="Times New Roman" w:hAnsi="Times New Roman"/>
          <w:sz w:val="20"/>
          <w:szCs w:val="20"/>
          <w:color w:val="1E1E1E"/>
        </w:rPr>
        <w:t>. The amounts to be recorded for both the deferred tax assets and the liability for the Company's obligations under the Tax Receivable Agreement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spacing w:after="0" w:line="65" w:lineRule="exact"/>
        <w:rPr>
          <w:sz w:val="20"/>
          <w:szCs w:val="20"/>
          <w:color w:val="auto"/>
        </w:rPr>
      </w:pPr>
    </w:p>
    <w:p>
      <w:pPr>
        <w:ind w:right="280" w:firstLine="490"/>
        <w:spacing w:after="0" w:line="249" w:lineRule="auto"/>
        <w:rPr>
          <w:sz w:val="20"/>
          <w:szCs w:val="20"/>
          <w:color w:val="auto"/>
        </w:rPr>
      </w:pPr>
      <w:r>
        <w:rPr>
          <w:rFonts w:ascii="Times New Roman" w:cs="Times New Roman" w:eastAsia="Times New Roman" w:hAnsi="Times New Roman"/>
          <w:sz w:val="20"/>
          <w:szCs w:val="20"/>
          <w:color w:val="1E1E1E"/>
        </w:rPr>
        <w:t>Under the provisions of ASC 740—</w:t>
      </w:r>
      <w:r>
        <w:rPr>
          <w:rFonts w:ascii="Times New Roman" w:cs="Times New Roman" w:eastAsia="Times New Roman" w:hAnsi="Times New Roman"/>
          <w:sz w:val="20"/>
          <w:szCs w:val="20"/>
          <w:i w:val="1"/>
          <w:iCs w:val="1"/>
          <w:color w:val="1E1E1E"/>
        </w:rPr>
        <w:t>Income Taxes</w:t>
      </w:r>
      <w:r>
        <w:rPr>
          <w:rFonts w:ascii="Times New Roman" w:cs="Times New Roman" w:eastAsia="Times New Roman" w:hAnsi="Times New Roman"/>
          <w:sz w:val="20"/>
          <w:szCs w:val="20"/>
          <w:color w:val="1E1E1E"/>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2023, 2022 and 2021, the Company did not have any uncertain tax positions.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Net Loss Per Share</w:t>
      </w:r>
    </w:p>
    <w:p>
      <w:pPr>
        <w:spacing w:after="0" w:line="11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E1E1E"/>
        </w:rPr>
        <w:t>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80" w:lineRule="exact"/>
        <w:rPr>
          <w:sz w:val="20"/>
          <w:szCs w:val="20"/>
          <w:color w:val="auto"/>
        </w:rPr>
      </w:pPr>
    </w:p>
    <w:p>
      <w:pPr>
        <w:ind w:right="280" w:firstLine="490"/>
        <w:spacing w:after="0" w:line="246" w:lineRule="auto"/>
        <w:rPr>
          <w:sz w:val="20"/>
          <w:szCs w:val="20"/>
          <w:color w:val="auto"/>
        </w:rPr>
      </w:pPr>
      <w:r>
        <w:rPr>
          <w:rFonts w:ascii="Times New Roman" w:cs="Times New Roman" w:eastAsia="Times New Roman" w:hAnsi="Times New Roman"/>
          <w:sz w:val="20"/>
          <w:szCs w:val="20"/>
          <w:color w:val="1E1E1E"/>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 presented as the inclusion of all potential shares outstanding would have been anti-dilutive. See Note 20. </w:t>
      </w:r>
      <w:r>
        <w:rPr>
          <w:rFonts w:ascii="Times New Roman" w:cs="Times New Roman" w:eastAsia="Times New Roman" w:hAnsi="Times New Roman"/>
          <w:sz w:val="20"/>
          <w:szCs w:val="20"/>
          <w:i w:val="1"/>
          <w:iCs w:val="1"/>
          <w:color w:val="1E1E1E"/>
        </w:rPr>
        <w:t>Loss Per Share</w:t>
      </w:r>
      <w:r>
        <w:rPr>
          <w:rFonts w:ascii="Times New Roman" w:cs="Times New Roman" w:eastAsia="Times New Roman" w:hAnsi="Times New Roman"/>
          <w:sz w:val="20"/>
          <w:szCs w:val="20"/>
          <w:color w:val="1E1E1E"/>
        </w:rPr>
        <w:t xml:space="preserve"> for additional information on dilutive securities.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Equity-based Compensation</w:t>
      </w:r>
    </w:p>
    <w:p>
      <w:pPr>
        <w:spacing w:after="0" w:line="118"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Equity instruments issued in exchange for services performed by officers, employees, consultants, and directors of the Company are accounted for using a fair-value based method, and the fair value of such equity instruments are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F-20</w:t>
      </w:r>
    </w:p>
    <w:p>
      <w:pPr>
        <w:sectPr>
          <w:pgSz w:w="11880" w:h="15480" w:orient="portrait"/>
          <w:cols w:equalWidth="0" w:num="1">
            <w:col w:w="10220"/>
          </w:cols>
          <w:pgMar w:left="820" w:top="808" w:right="840" w:bottom="8" w:gutter="0" w:footer="0" w:header="0"/>
          <w:type w:val="continuous"/>
        </w:sectPr>
      </w:pPr>
    </w:p>
    <w:bookmarkStart w:id="104" w:name="page105"/>
    <w:bookmarkEnd w:id="104"/>
    <w:p>
      <w:pPr>
        <w:ind w:right="100" w:firstLine="490"/>
        <w:spacing w:after="0" w:line="245" w:lineRule="auto"/>
        <w:rPr>
          <w:sz w:val="20"/>
          <w:szCs w:val="20"/>
          <w:color w:val="auto"/>
        </w:rPr>
      </w:pPr>
      <w:r>
        <w:rPr>
          <w:rFonts w:ascii="Times New Roman" w:cs="Times New Roman" w:eastAsia="Times New Roman" w:hAnsi="Times New Roman"/>
          <w:sz w:val="20"/>
          <w:szCs w:val="20"/>
          <w:color w:val="1E1E1E"/>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spacing w:after="0" w:line="8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Equity-based compensation expense is measured at the grant date fair value of the stock-based awards and is recognized as expense on a straight-line basis over the requisite service periods, which is generally the vesting period of the respective award. The Company estimates the fair value of each stock-based award on its measurement date using either the current market price of the stock or the Monte Carlo Simulation valuation model. The Monte Carlo Simulation valuation models incorporate assumptions as to stock price volatility, the expected life of options or awards, a risk-free interest rate and dividend yield.</w:t>
      </w:r>
    </w:p>
    <w:p>
      <w:pPr>
        <w:spacing w:after="0" w:line="8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1E1E1E"/>
        </w:rPr>
        <w:t>Expense for performance restricted stock units with market-based vesting criteria is recognized based upon the fair value of the awards on the date of grant and the number of shares expected to vest based on the terms of the underlying award agreement and the requisite service periods.</w:t>
      </w:r>
    </w:p>
    <w:p>
      <w:pPr>
        <w:spacing w:after="0" w:line="65"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For units and shares which had a performance conditions not tied to market-based criteria,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spacing w:after="0" w:line="70" w:lineRule="exact"/>
        <w:rPr>
          <w:sz w:val="20"/>
          <w:szCs w:val="20"/>
          <w:color w:val="auto"/>
        </w:rPr>
      </w:pPr>
    </w:p>
    <w:p>
      <w:pPr>
        <w:ind w:right="420" w:firstLine="490"/>
        <w:spacing w:after="0" w:line="279" w:lineRule="auto"/>
        <w:rPr>
          <w:sz w:val="20"/>
          <w:szCs w:val="20"/>
          <w:color w:val="auto"/>
        </w:rPr>
      </w:pPr>
      <w:r>
        <w:rPr>
          <w:rFonts w:ascii="Times New Roman" w:cs="Times New Roman" w:eastAsia="Times New Roman" w:hAnsi="Times New Roman"/>
          <w:sz w:val="20"/>
          <w:szCs w:val="20"/>
          <w:color w:val="1E1E1E"/>
        </w:rPr>
        <w:t>The Company classifies equity-based compensation expense in its consolidated statements of operations in the same manner in which the award recipient’s salary and related costs are classified.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Adoption of Recently Issued Financial Accounting Standards</w:t>
      </w:r>
    </w:p>
    <w:p>
      <w:pPr>
        <w:spacing w:after="0" w:line="11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In June 2016, the FASB issued ASU No. 2016-13—</w:t>
      </w:r>
      <w:r>
        <w:rPr>
          <w:rFonts w:ascii="Times New Roman" w:cs="Times New Roman" w:eastAsia="Times New Roman" w:hAnsi="Times New Roman"/>
          <w:sz w:val="20"/>
          <w:szCs w:val="20"/>
          <w:i w:val="1"/>
          <w:iCs w:val="1"/>
          <w:color w:val="1E1E1E"/>
        </w:rPr>
        <w:t>Financial Instruments – Credit Losses (Topic 326) – Measurement</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of Credit Losses on Financial Instruments</w:t>
      </w:r>
      <w:r>
        <w:rPr>
          <w:rFonts w:ascii="Times New Roman" w:cs="Times New Roman" w:eastAsia="Times New Roman" w:hAnsi="Times New Roman"/>
          <w:sz w:val="20"/>
          <w:szCs w:val="20"/>
          <w:color w:val="1E1E1E"/>
        </w:rPr>
        <w:t>. This standard is intended to improve financial reporting by requiring earlier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recognition of credit losses on financing receivables and other financial assets in scope, such as trade receivables. The amendment is effective for fiscal years beginning after December 15, 2022. The Company adopted the update effective January 1, 2023 and the adoption of the standard did not have a material impact on the Company's consolidated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Recently Issued Accounting Pronouncements Not Yet Adopted</w:t>
      </w:r>
    </w:p>
    <w:p>
      <w:pPr>
        <w:spacing w:after="0" w:line="11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In December 2023, the FASB issued Accounting Standards Update 2023-09, “Improvements to Income Tax Disclosures,” (“ASU 2023-09”), which is effective for annual periods beginning after December 15, 2024. ASU 2023-09 intends to enhance the transparency as well as usefulness of income tax disclosures, primarily related to the rate reconciliation and income taxes paid. The Company is currently assessing the impact that adoption of this new accounting guidance will have on its consolidated financial statements and footnote disclosures.</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F-21</w:t>
      </w:r>
    </w:p>
    <w:p>
      <w:pPr>
        <w:sectPr>
          <w:pgSz w:w="11880" w:h="15480" w:orient="portrait"/>
          <w:cols w:equalWidth="0" w:num="1">
            <w:col w:w="10220"/>
          </w:cols>
          <w:pgMar w:left="820" w:top="806" w:right="840" w:bottom="8" w:gutter="0" w:footer="0" w:header="0"/>
          <w:type w:val="continuous"/>
        </w:sectPr>
      </w:pPr>
    </w:p>
    <w:bookmarkStart w:id="105" w:name="page106"/>
    <w:bookmarkEnd w:id="105"/>
    <w:p>
      <w:pPr>
        <w:ind w:right="8680" w:firstLine="8"/>
        <w:spacing w:after="0" w:line="366" w:lineRule="auto"/>
        <w:tabs>
          <w:tab w:leader="none" w:pos="490" w:val="left"/>
        </w:tabs>
        <w:numPr>
          <w:ilvl w:val="0"/>
          <w:numId w:val="4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Acquisitions </w:t>
      </w:r>
      <w:r>
        <w:rPr>
          <w:rFonts w:ascii="Times New Roman" w:cs="Times New Roman" w:eastAsia="Times New Roman" w:hAnsi="Times New Roman"/>
          <w:sz w:val="20"/>
          <w:szCs w:val="20"/>
          <w:b w:val="1"/>
          <w:bCs w:val="1"/>
          <w:i w:val="1"/>
          <w:iCs w:val="1"/>
          <w:color w:val="1E1E1E"/>
        </w:rPr>
        <w:t>Populi, Inc.</w:t>
      </w:r>
    </w:p>
    <w:p>
      <w:pPr>
        <w:spacing w:after="0" w:line="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On July 21, 2023, the Company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a $0.1 million reimbursement from sellers for working capital adjustments, and up to $28.0 million of contingent consideration, with an initial estimated fair value of $7.8 million. The contingent consideration relates to earn-out payments that may be paid subject to meeting certain revenue metrics during calendar years 2024 and 2025. In addition to the purchase consideration and pursuant to holdback agreements with certain key Populi employees, the Company agreed to pay $4.8 million to certain key Populi employees in quarterly installments beginning on December 31, 2023, and continuing through September 30, 2025. The payout of the holdback is subject to continued employment, and therefore recognized as compensation expense over the requisite service period as a component of transaction, integration and restructuring expenses in the accompanying consolidated statements of operations. The assets acquired and liabilities assumed were recorded at their estimated fair values and the results of operations were included in the Company’s consolidated results as of the acquisition date.</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consideration transferred for the transaction is summarized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Cash consideration paid at closing</w:t>
            </w:r>
          </w:p>
        </w:tc>
        <w:tc>
          <w:tcPr>
            <w:tcW w:w="820" w:type="dxa"/>
            <w:vAlign w:val="bottom"/>
            <w:gridSpan w:val="2"/>
            <w:shd w:val="clear" w:color="auto" w:fill="E4E4E4"/>
          </w:tcPr>
          <w:p>
            <w:pPr>
              <w:jc w:val="right"/>
              <w:ind w:right="42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46,446</w:t>
            </w:r>
          </w:p>
        </w:tc>
        <w:tc>
          <w:tcPr>
            <w:tcW w:w="100" w:type="dxa"/>
            <w:vAlign w:val="bottom"/>
            <w:shd w:val="clear" w:color="auto" w:fill="E4E4E4"/>
          </w:tcPr>
          <w:p>
            <w:pPr>
              <w:spacing w:after="0"/>
              <w:rPr>
                <w:sz w:val="19"/>
                <w:szCs w:val="19"/>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1E1E1E"/>
              </w:rPr>
              <w:t>Working capital adjustment</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(145)</w:t>
            </w:r>
          </w:p>
        </w:tc>
      </w:tr>
      <w:tr>
        <w:trPr>
          <w:trHeight w:val="230"/>
        </w:trPr>
        <w:tc>
          <w:tcPr>
            <w:tcW w:w="82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Contingent consideration</w:t>
            </w:r>
          </w:p>
        </w:tc>
        <w:tc>
          <w:tcPr>
            <w:tcW w:w="200" w:type="dxa"/>
            <w:vAlign w:val="bottom"/>
            <w:shd w:val="clear" w:color="auto" w:fill="E4E4E4"/>
          </w:tcPr>
          <w:p>
            <w:pPr>
              <w:spacing w:after="0"/>
              <w:rPr>
                <w:sz w:val="19"/>
                <w:szCs w:val="19"/>
                <w:color w:val="auto"/>
              </w:rPr>
            </w:pPr>
          </w:p>
        </w:tc>
        <w:tc>
          <w:tcPr>
            <w:tcW w:w="62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7,800</w:t>
            </w:r>
          </w:p>
        </w:tc>
        <w:tc>
          <w:tcPr>
            <w:tcW w:w="100" w:type="dxa"/>
            <w:vAlign w:val="bottom"/>
            <w:shd w:val="clear" w:color="auto" w:fill="E4E4E4"/>
          </w:tcPr>
          <w:p>
            <w:pPr>
              <w:spacing w:after="0"/>
              <w:rPr>
                <w:sz w:val="19"/>
                <w:szCs w:val="19"/>
                <w:color w:val="auto"/>
              </w:rPr>
            </w:pPr>
          </w:p>
        </w:tc>
      </w:tr>
      <w:tr>
        <w:trPr>
          <w:trHeight w:val="220"/>
        </w:trPr>
        <w:tc>
          <w:tcPr>
            <w:tcW w:w="82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1E1E1E"/>
              </w:rPr>
              <w:t>Purchase price</w:t>
            </w:r>
          </w:p>
        </w:tc>
        <w:tc>
          <w:tcPr>
            <w:tcW w:w="200" w:type="dxa"/>
            <w:vAlign w:val="bottom"/>
          </w:tcPr>
          <w:p>
            <w:pPr>
              <w:spacing w:after="0"/>
              <w:rPr>
                <w:sz w:val="19"/>
                <w:szCs w:val="19"/>
                <w:color w:val="auto"/>
              </w:rPr>
            </w:pPr>
          </w:p>
        </w:tc>
        <w:tc>
          <w:tcPr>
            <w:tcW w:w="620" w:type="dxa"/>
            <w:vAlign w:val="bottom"/>
            <w:tcBorders>
              <w:bottom w:val="single" w:sz="8" w:color="1E1E1E"/>
            </w:tcBorders>
          </w:tcPr>
          <w:p>
            <w:pPr>
              <w:jc w:val="right"/>
              <w:ind w:right="4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54,101</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E1E1E"/>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consolidated balance sheets as of December 31, 2023. Refer to Note 12. </w:t>
      </w:r>
      <w:r>
        <w:rPr>
          <w:rFonts w:ascii="Times New Roman" w:cs="Times New Roman" w:eastAsia="Times New Roman" w:hAnsi="Times New Roman"/>
          <w:sz w:val="20"/>
          <w:szCs w:val="20"/>
          <w:i w:val="1"/>
          <w:iCs w:val="1"/>
          <w:color w:val="1E1E1E"/>
        </w:rPr>
        <w:t>Fair Value Measurements</w:t>
      </w:r>
      <w:r>
        <w:rPr>
          <w:rFonts w:ascii="Times New Roman" w:cs="Times New Roman" w:eastAsia="Times New Roman" w:hAnsi="Times New Roman"/>
          <w:sz w:val="20"/>
          <w:szCs w:val="20"/>
          <w:color w:val="1E1E1E"/>
        </w:rPr>
        <w:t xml:space="preserve"> for updates to the fair value of this contingent consideration subsequent to the acquisition date.</w:t>
      </w:r>
    </w:p>
    <w:p>
      <w:pPr>
        <w:spacing w:after="0" w:line="8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E1E1E"/>
        </w:rPr>
        <w:t>The purchase price allocations for the Populi acquisition are provisional and are based on the information that was available as of the acquisition date to estimate the fair values of assets acquired and liabilities assumed.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December 31, 2023 are subject to change. The Company is expected to finalize the purchase price allocations as soon as practicable, but no later than one year from the acquisition date. Acquisition-date fair values of assets and liabilities pertaining to this business combination have been allocated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1E1E1E"/>
              </w:rPr>
              <w:t>Preliminary, as</w:t>
            </w:r>
          </w:p>
        </w:tc>
        <w:tc>
          <w:tcPr>
            <w:tcW w:w="1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1E1E1E"/>
              </w:rPr>
              <w:t>Measurement period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Purchase price allocation:</w:t>
            </w:r>
          </w:p>
        </w:tc>
        <w:tc>
          <w:tcPr>
            <w:tcW w:w="160" w:type="dxa"/>
            <w:vAlign w:val="bottom"/>
          </w:tcPr>
          <w:p>
            <w:pPr>
              <w:spacing w:after="0"/>
              <w:rPr>
                <w:sz w:val="17"/>
                <w:szCs w:val="17"/>
                <w:color w:val="auto"/>
              </w:rPr>
            </w:pPr>
          </w:p>
        </w:tc>
        <w:tc>
          <w:tcPr>
            <w:tcW w:w="17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1E1E1E"/>
              </w:rPr>
              <w:t>originally reported</w:t>
            </w:r>
          </w:p>
        </w:tc>
        <w:tc>
          <w:tcPr>
            <w:tcW w:w="20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1E1E1E"/>
              </w:rPr>
              <w:t>adjustments</w:t>
            </w:r>
          </w:p>
        </w:tc>
        <w:tc>
          <w:tcPr>
            <w:tcW w:w="22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1E1E1E"/>
              </w:rPr>
              <w:t>As adjusted</w:t>
            </w:r>
          </w:p>
        </w:tc>
        <w:tc>
          <w:tcPr>
            <w:tcW w:w="0" w:type="dxa"/>
            <w:vAlign w:val="bottom"/>
          </w:tcPr>
          <w:p>
            <w:pPr>
              <w:spacing w:after="0"/>
              <w:rPr>
                <w:sz w:val="1"/>
                <w:szCs w:val="1"/>
                <w:color w:val="auto"/>
              </w:rPr>
            </w:pPr>
          </w:p>
        </w:tc>
      </w:tr>
      <w:tr>
        <w:trPr>
          <w:trHeight w:val="220"/>
        </w:trPr>
        <w:tc>
          <w:tcPr>
            <w:tcW w:w="502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Cash</w:t>
            </w:r>
          </w:p>
        </w:tc>
        <w:tc>
          <w:tcPr>
            <w:tcW w:w="1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1,423</w:t>
            </w:r>
          </w:p>
        </w:tc>
        <w:tc>
          <w:tcPr>
            <w:tcW w:w="260" w:type="dxa"/>
            <w:vAlign w:val="bottom"/>
            <w:tcBorders>
              <w:top w:val="single" w:sz="8" w:color="E4E4E4"/>
            </w:tcBorders>
            <w:shd w:val="clear" w:color="auto" w:fill="E4E4E4"/>
          </w:tcPr>
          <w:p>
            <w:pPr>
              <w:spacing w:after="0"/>
              <w:rPr>
                <w:sz w:val="19"/>
                <w:szCs w:val="19"/>
                <w:color w:val="auto"/>
              </w:rPr>
            </w:pPr>
          </w:p>
        </w:tc>
        <w:tc>
          <w:tcPr>
            <w:tcW w:w="200" w:type="dxa"/>
            <w:vAlign w:val="bottom"/>
            <w:tcBorders>
              <w:top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1,423</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1E1E1E"/>
              </w:rPr>
              <w:t>Accounts receivable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2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52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2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1E1E1E"/>
              </w:rPr>
              <w:t>Property and equipment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Intangible assets</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22,830</w:t>
            </w:r>
          </w:p>
        </w:tc>
        <w:tc>
          <w:tcPr>
            <w:tcW w:w="2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52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(500)</w:t>
            </w:r>
          </w:p>
        </w:tc>
        <w:tc>
          <w:tcPr>
            <w:tcW w:w="220" w:type="dxa"/>
            <w:vAlign w:val="bottom"/>
            <w:shd w:val="clear" w:color="auto" w:fill="E4E4E4"/>
          </w:tcPr>
          <w:p>
            <w:pPr>
              <w:spacing w:after="0"/>
              <w:rPr>
                <w:sz w:val="19"/>
                <w:szCs w:val="19"/>
                <w:color w:val="auto"/>
              </w:rPr>
            </w:pPr>
          </w:p>
        </w:tc>
        <w:tc>
          <w:tcPr>
            <w:tcW w:w="12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22,330</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1E1E1E"/>
              </w:rPr>
              <w:t>Accounts payable and accrued expenses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(3,316)</w:t>
            </w:r>
          </w:p>
        </w:tc>
        <w:tc>
          <w:tcPr>
            <w:tcW w:w="2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(3,316)</w:t>
            </w:r>
          </w:p>
        </w:tc>
        <w:tc>
          <w:tcPr>
            <w:tcW w:w="0" w:type="dxa"/>
            <w:vAlign w:val="bottom"/>
          </w:tcPr>
          <w:p>
            <w:pPr>
              <w:spacing w:after="0"/>
              <w:rPr>
                <w:sz w:val="1"/>
                <w:szCs w:val="1"/>
                <w:color w:val="auto"/>
              </w:rPr>
            </w:pPr>
          </w:p>
        </w:tc>
      </w:tr>
      <w:tr>
        <w:trPr>
          <w:trHeight w:val="230"/>
        </w:trPr>
        <w:tc>
          <w:tcPr>
            <w:tcW w:w="50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revenue</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5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(4,010)</w:t>
            </w:r>
          </w:p>
        </w:tc>
        <w:tc>
          <w:tcPr>
            <w:tcW w:w="200" w:type="dxa"/>
            <w:vAlign w:val="bottom"/>
            <w:shd w:val="clear" w:color="auto" w:fill="E4E4E4"/>
          </w:tcPr>
          <w:p>
            <w:pPr>
              <w:spacing w:after="0"/>
              <w:rPr>
                <w:sz w:val="19"/>
                <w:szCs w:val="19"/>
                <w:color w:val="auto"/>
              </w:rPr>
            </w:pPr>
          </w:p>
        </w:tc>
        <w:tc>
          <w:tcPr>
            <w:tcW w:w="152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3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(4,010)</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1E1E1E"/>
              </w:rPr>
              <w:t>Deferred tax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(2,354)</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(576)</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(2,930)</w:t>
            </w:r>
          </w:p>
        </w:tc>
        <w:tc>
          <w:tcPr>
            <w:tcW w:w="0" w:type="dxa"/>
            <w:vAlign w:val="bottom"/>
          </w:tcPr>
          <w:p>
            <w:pPr>
              <w:spacing w:after="0"/>
              <w:rPr>
                <w:sz w:val="1"/>
                <w:szCs w:val="1"/>
                <w:color w:val="auto"/>
              </w:rPr>
            </w:pPr>
          </w:p>
        </w:tc>
      </w:tr>
      <w:tr>
        <w:trPr>
          <w:trHeight w:val="220"/>
        </w:trPr>
        <w:tc>
          <w:tcPr>
            <w:tcW w:w="502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 assets acquired and liabilities assumed</w:t>
            </w:r>
          </w:p>
        </w:tc>
        <w:tc>
          <w:tcPr>
            <w:tcW w:w="16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rPr>
                <w:sz w:val="19"/>
                <w:szCs w:val="19"/>
                <w:color w:val="auto"/>
              </w:rPr>
            </w:pPr>
          </w:p>
        </w:tc>
        <w:tc>
          <w:tcPr>
            <w:tcW w:w="13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17,430</w:t>
            </w:r>
          </w:p>
        </w:tc>
        <w:tc>
          <w:tcPr>
            <w:tcW w:w="260" w:type="dxa"/>
            <w:vAlign w:val="bottom"/>
            <w:tcBorders>
              <w:top w:val="single" w:sz="8" w:color="E4E4E4"/>
            </w:tcBorders>
            <w:shd w:val="clear" w:color="auto" w:fill="E4E4E4"/>
          </w:tcPr>
          <w:p>
            <w:pPr>
              <w:spacing w:after="0"/>
              <w:rPr>
                <w:sz w:val="19"/>
                <w:szCs w:val="19"/>
                <w:color w:val="auto"/>
              </w:rPr>
            </w:pPr>
          </w:p>
        </w:tc>
        <w:tc>
          <w:tcPr>
            <w:tcW w:w="200" w:type="dxa"/>
            <w:vAlign w:val="bottom"/>
            <w:tcBorders>
              <w:top w:val="single" w:sz="8" w:color="1E1E1E"/>
            </w:tcBorders>
            <w:shd w:val="clear" w:color="auto" w:fill="E4E4E4"/>
          </w:tcPr>
          <w:p>
            <w:pPr>
              <w:spacing w:after="0"/>
              <w:rPr>
                <w:sz w:val="19"/>
                <w:szCs w:val="19"/>
                <w:color w:val="auto"/>
              </w:rPr>
            </w:pPr>
          </w:p>
        </w:tc>
        <w:tc>
          <w:tcPr>
            <w:tcW w:w="12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(1,076)</w:t>
            </w:r>
          </w:p>
        </w:tc>
        <w:tc>
          <w:tcPr>
            <w:tcW w:w="24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spacing w:after="0"/>
              <w:rPr>
                <w:sz w:val="19"/>
                <w:szCs w:val="19"/>
                <w:color w:val="auto"/>
              </w:rPr>
            </w:pPr>
          </w:p>
        </w:tc>
        <w:tc>
          <w:tcPr>
            <w:tcW w:w="12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16,354</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Goodwill</w:t>
            </w:r>
          </w:p>
        </w:tc>
        <w:tc>
          <w:tcPr>
            <w:tcW w:w="160" w:type="dxa"/>
            <w:vAlign w:val="bottom"/>
            <w:tcBorders>
              <w:bottom w:val="single" w:sz="8" w:color="E4E4E4"/>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36,652</w:t>
            </w:r>
          </w:p>
        </w:tc>
        <w:tc>
          <w:tcPr>
            <w:tcW w:w="260" w:type="dxa"/>
            <w:vAlign w:val="bottom"/>
            <w:tcBorders>
              <w:bottom w:val="single" w:sz="8" w:color="E4E4E4"/>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1,095</w:t>
            </w:r>
          </w:p>
        </w:tc>
        <w:tc>
          <w:tcPr>
            <w:tcW w:w="240" w:type="dxa"/>
            <w:vAlign w:val="bottom"/>
            <w:tcBorders>
              <w:bottom w:val="single" w:sz="8" w:color="E4E4E4"/>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37,747</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E4E4E4"/>
          </w:tcPr>
          <w:p>
            <w:pPr>
              <w:ind w:left="300"/>
              <w:spacing w:after="0" w:line="220" w:lineRule="exact"/>
              <w:rPr>
                <w:sz w:val="20"/>
                <w:szCs w:val="20"/>
                <w:color w:val="auto"/>
              </w:rPr>
            </w:pPr>
            <w:r>
              <w:rPr>
                <w:rFonts w:ascii="Times New Roman" w:cs="Times New Roman" w:eastAsia="Times New Roman" w:hAnsi="Times New Roman"/>
                <w:sz w:val="20"/>
                <w:szCs w:val="20"/>
                <w:color w:val="1E1E1E"/>
              </w:rPr>
              <w:t>Purchase price</w:t>
            </w:r>
          </w:p>
        </w:tc>
        <w:tc>
          <w:tcPr>
            <w:tcW w:w="16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54,082</w:t>
            </w:r>
          </w:p>
        </w:tc>
        <w:tc>
          <w:tcPr>
            <w:tcW w:w="260" w:type="dxa"/>
            <w:vAlign w:val="bottom"/>
            <w:shd w:val="clear" w:color="auto" w:fill="E4E4E4"/>
          </w:tcPr>
          <w:p>
            <w:pPr>
              <w:spacing w:after="0"/>
              <w:rPr>
                <w:sz w:val="19"/>
                <w:szCs w:val="19"/>
                <w:color w:val="auto"/>
              </w:rPr>
            </w:pPr>
          </w:p>
        </w:tc>
        <w:tc>
          <w:tcPr>
            <w:tcW w:w="20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w:t>
            </w:r>
          </w:p>
        </w:tc>
        <w:tc>
          <w:tcPr>
            <w:tcW w:w="240" w:type="dxa"/>
            <w:vAlign w:val="bottom"/>
            <w:shd w:val="clear" w:color="auto" w:fill="E4E4E4"/>
          </w:tcPr>
          <w:p>
            <w:pPr>
              <w:spacing w:after="0"/>
              <w:rPr>
                <w:sz w:val="19"/>
                <w:szCs w:val="19"/>
                <w:color w:val="auto"/>
              </w:rPr>
            </w:pPr>
          </w:p>
        </w:tc>
        <w:tc>
          <w:tcPr>
            <w:tcW w:w="220" w:type="dxa"/>
            <w:vAlign w:val="bottom"/>
            <w:tcBorders>
              <w:bottom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54,101</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32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F-22</w:t>
      </w:r>
    </w:p>
    <w:p>
      <w:pPr>
        <w:sectPr>
          <w:pgSz w:w="11880" w:h="15480" w:orient="portrait"/>
          <w:cols w:equalWidth="0" w:num="1">
            <w:col w:w="10240"/>
          </w:cols>
          <w:pgMar w:left="820" w:top="803" w:right="820" w:bottom="0" w:gutter="0" w:footer="0" w:header="0"/>
        </w:sectPr>
      </w:pPr>
    </w:p>
    <w:bookmarkStart w:id="106" w:name="page107"/>
    <w:bookmarkEnd w:id="106"/>
    <w:p>
      <w:pPr>
        <w:ind w:right="180" w:firstLine="490"/>
        <w:spacing w:after="0" w:line="247" w:lineRule="auto"/>
        <w:rPr>
          <w:sz w:val="20"/>
          <w:szCs w:val="20"/>
          <w:color w:val="auto"/>
        </w:rPr>
      </w:pPr>
      <w:r>
        <w:rPr>
          <w:rFonts w:ascii="Times New Roman" w:cs="Times New Roman" w:eastAsia="Times New Roman" w:hAnsi="Times New Roman"/>
          <w:sz w:val="20"/>
          <w:szCs w:val="20"/>
          <w:color w:val="1E1E1E"/>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spacing w:after="0" w:line="8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spacing w:after="0" w:line="77"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1E1E1E"/>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spacing w:after="0" w:line="70"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1E1E1E"/>
        </w:rPr>
        <w:t xml:space="preserve">In total, intangible assets acquired in the Populi acquisition are estimated to be amortized over a weighted average period of 7.2 years. See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 xml:space="preserve"> for the estimated total intangible amortization expense during the next five years.</w:t>
      </w:r>
    </w:p>
    <w:p>
      <w:pPr>
        <w:spacing w:after="0" w:line="65"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1E1E1E"/>
        </w:rPr>
        <w:t>In connection with the acquisition, the Company recognized acquisition related costs of $5.1 million which were recorded within transaction, integration, and restructuring expenses in the accompanying consolidated statements of operations for the year ended December 31, 2023.</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Unaudited Pro Forma Supplementary Data as if the transaction had occurred on January 1,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0" w:type="dxa"/>
            <w:vAlign w:val="bottom"/>
          </w:tcPr>
          <w:p>
            <w:pPr>
              <w:spacing w:after="0"/>
              <w:rPr>
                <w:sz w:val="1"/>
                <w:szCs w:val="1"/>
                <w:color w:val="auto"/>
              </w:rPr>
            </w:pPr>
          </w:p>
        </w:tc>
      </w:tr>
      <w:tr>
        <w:trPr>
          <w:trHeight w:val="174"/>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Pr>
          <w:p>
            <w:pPr>
              <w:spacing w:after="0"/>
              <w:rPr>
                <w:sz w:val="15"/>
                <w:szCs w:val="15"/>
                <w:color w:val="auto"/>
              </w:rPr>
            </w:pPr>
          </w:p>
        </w:tc>
        <w:tc>
          <w:tcPr>
            <w:tcW w:w="320" w:type="dxa"/>
            <w:vAlign w:val="bottom"/>
            <w:tcBorders>
              <w:top w:val="single" w:sz="8" w:color="1E1E1E"/>
              <w:bottom w:val="single" w:sz="8" w:color="1E1E1E"/>
            </w:tcBorders>
          </w:tcPr>
          <w:p>
            <w:pPr>
              <w:spacing w:after="0"/>
              <w:rPr>
                <w:sz w:val="15"/>
                <w:szCs w:val="15"/>
                <w:color w:val="auto"/>
              </w:rPr>
            </w:pPr>
          </w:p>
        </w:tc>
        <w:tc>
          <w:tcPr>
            <w:tcW w:w="1100" w:type="dxa"/>
            <w:vAlign w:val="bottom"/>
            <w:tcBorders>
              <w:top w:val="single" w:sz="8" w:color="1E1E1E"/>
              <w:bottom w:val="single" w:sz="8" w:color="1E1E1E"/>
            </w:tcBorders>
          </w:tcPr>
          <w:p>
            <w:pPr>
              <w:jc w:val="right"/>
              <w:ind w:right="450"/>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80" w:type="dxa"/>
            <w:vAlign w:val="bottom"/>
            <w:tcBorders>
              <w:top w:val="single" w:sz="8" w:color="1E1E1E"/>
            </w:tcBorders>
          </w:tcPr>
          <w:p>
            <w:pPr>
              <w:spacing w:after="0"/>
              <w:rPr>
                <w:sz w:val="15"/>
                <w:szCs w:val="15"/>
                <w:color w:val="auto"/>
              </w:rPr>
            </w:pPr>
          </w:p>
        </w:tc>
        <w:tc>
          <w:tcPr>
            <w:tcW w:w="320" w:type="dxa"/>
            <w:vAlign w:val="bottom"/>
            <w:tcBorders>
              <w:top w:val="single" w:sz="8" w:color="1E1E1E"/>
              <w:bottom w:val="single" w:sz="8" w:color="1E1E1E"/>
            </w:tcBorders>
          </w:tcPr>
          <w:p>
            <w:pPr>
              <w:spacing w:after="0"/>
              <w:rPr>
                <w:sz w:val="15"/>
                <w:szCs w:val="15"/>
                <w:color w:val="auto"/>
              </w:rPr>
            </w:pPr>
          </w:p>
        </w:tc>
        <w:tc>
          <w:tcPr>
            <w:tcW w:w="1100" w:type="dxa"/>
            <w:vAlign w:val="bottom"/>
            <w:tcBorders>
              <w:top w:val="single" w:sz="8" w:color="1E1E1E"/>
              <w:bottom w:val="single" w:sz="8" w:color="1E1E1E"/>
            </w:tcBorders>
          </w:tcPr>
          <w:p>
            <w:pPr>
              <w:jc w:val="right"/>
              <w:ind w:right="467"/>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Revenue</w:t>
            </w:r>
          </w:p>
        </w:tc>
        <w:tc>
          <w:tcPr>
            <w:tcW w:w="4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255,629</w:t>
            </w:r>
          </w:p>
        </w:tc>
        <w:tc>
          <w:tcPr>
            <w:tcW w:w="280" w:type="dxa"/>
            <w:vAlign w:val="bottom"/>
            <w:shd w:val="clear" w:color="auto" w:fill="E4E4E4"/>
          </w:tcPr>
          <w:p>
            <w:pPr>
              <w:spacing w:after="0"/>
              <w:rPr>
                <w:sz w:val="19"/>
                <w:szCs w:val="19"/>
                <w:color w:val="auto"/>
              </w:rPr>
            </w:pPr>
          </w:p>
        </w:tc>
        <w:tc>
          <w:tcPr>
            <w:tcW w:w="320" w:type="dxa"/>
            <w:vAlign w:val="bottom"/>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228,085</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1E1E1E"/>
              </w:rPr>
              <w:t>Net loss</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(294,232)</w:t>
            </w:r>
          </w:p>
        </w:tc>
        <w:tc>
          <w:tcPr>
            <w:tcW w:w="320" w:type="dxa"/>
            <w:vAlign w:val="bottom"/>
          </w:tcPr>
          <w:p>
            <w:pPr>
              <w:spacing w:after="0"/>
              <w:rPr>
                <w:sz w:val="23"/>
                <w:szCs w:val="2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(33,015)</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E1E1E"/>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Analytical Wizards</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A.I. and M.L.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w:t>
      </w:r>
    </w:p>
    <w:p>
      <w:pPr>
        <w:spacing w:after="0" w:line="83"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In February 2022, the Company completed the purchase of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consolidated statements of operations for the three months ended March 31, 2022. The Company has included the financial results of Analytical Wizards in the consolidated financial statements from February 18, 2022, the date of acquisition.</w:t>
      </w:r>
    </w:p>
    <w:p>
      <w:pPr>
        <w:sectPr>
          <w:pgSz w:w="11880" w:h="15480" w:orient="portrait"/>
          <w:cols w:equalWidth="0" w:num="1">
            <w:col w:w="10240"/>
          </w:cols>
          <w:pgMar w:left="820" w:top="806" w:right="820" w:bottom="8"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F-23</w:t>
      </w:r>
    </w:p>
    <w:p>
      <w:pPr>
        <w:sectPr>
          <w:pgSz w:w="11880" w:h="15480" w:orient="portrait"/>
          <w:cols w:equalWidth="0" w:num="1">
            <w:col w:w="10240"/>
          </w:cols>
          <w:pgMar w:left="820" w:top="806" w:right="820" w:bottom="8" w:gutter="0" w:footer="0" w:header="0"/>
          <w:type w:val="continuous"/>
        </w:sectPr>
      </w:pPr>
    </w:p>
    <w:bookmarkStart w:id="107" w:name="page108"/>
    <w:bookmarkEnd w:id="107"/>
    <w:p>
      <w:pPr>
        <w:ind w:right="200" w:firstLine="490"/>
        <w:spacing w:after="0" w:line="244" w:lineRule="auto"/>
        <w:rPr>
          <w:sz w:val="20"/>
          <w:szCs w:val="20"/>
          <w:color w:val="auto"/>
        </w:rPr>
      </w:pPr>
      <w:r>
        <w:rPr>
          <w:rFonts w:ascii="Times New Roman" w:cs="Times New Roman" w:eastAsia="Times New Roman" w:hAnsi="Times New Roman"/>
          <w:sz w:val="20"/>
          <w:szCs w:val="20"/>
          <w:color w:val="1E1E1E"/>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consolidated results as of the acquisition date.</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consideration transferred for the transaction is summarized as follows:</w:t>
      </w:r>
    </w:p>
    <w:p>
      <w:pPr>
        <w:spacing w:after="0" w:line="330" w:lineRule="exact"/>
        <w:rPr>
          <w:sz w:val="20"/>
          <w:szCs w:val="20"/>
          <w:color w:val="auto"/>
        </w:rPr>
      </w:pPr>
    </w:p>
    <w:tbl>
      <w:tblPr>
        <w:tblLayout w:type="fixed"/>
        <w:tblInd w:w="520" w:type="dxa"/>
        <w:tblCellMar>
          <w:top w:w="0" w:type="dxa"/>
          <w:left w:w="0" w:type="dxa"/>
          <w:bottom w:w="0" w:type="dxa"/>
          <w:right w:w="0" w:type="dxa"/>
        </w:tblCellMar>
      </w:tblPr>
      <w:tr>
        <w:trPr>
          <w:trHeight w:val="200"/>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Initial cash investment in December 2021</w:t>
            </w:r>
          </w:p>
        </w:tc>
        <w:tc>
          <w:tcPr>
            <w:tcW w:w="600" w:type="dxa"/>
            <w:vAlign w:val="bottom"/>
            <w:gridSpan w:val="2"/>
            <w:shd w:val="clear" w:color="auto" w:fill="E4E4E4"/>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40,000</w:t>
            </w:r>
          </w:p>
        </w:tc>
        <w:tc>
          <w:tcPr>
            <w:tcW w:w="100" w:type="dxa"/>
            <w:vAlign w:val="bottom"/>
            <w:shd w:val="clear" w:color="auto" w:fill="E4E4E4"/>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1E1E1E"/>
              </w:rPr>
              <w:t>Cash consideration paid at closing</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58,645</w:t>
            </w:r>
          </w:p>
        </w:tc>
        <w:tc>
          <w:tcPr>
            <w:tcW w:w="100" w:type="dxa"/>
            <w:vAlign w:val="bottom"/>
          </w:tcPr>
          <w:p>
            <w:pPr>
              <w:spacing w:after="0"/>
              <w:rPr>
                <w:sz w:val="19"/>
                <w:szCs w:val="19"/>
                <w:color w:val="auto"/>
              </w:rPr>
            </w:pPr>
          </w:p>
        </w:tc>
      </w:tr>
      <w:tr>
        <w:trPr>
          <w:trHeight w:val="230"/>
        </w:trPr>
        <w:tc>
          <w:tcPr>
            <w:tcW w:w="75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Working capital adjustment</w:t>
            </w:r>
          </w:p>
        </w:tc>
        <w:tc>
          <w:tcPr>
            <w:tcW w:w="10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(202)</w:t>
            </w:r>
          </w:p>
        </w:tc>
      </w:tr>
      <w:tr>
        <w:trPr>
          <w:trHeight w:val="230"/>
        </w:trPr>
        <w:tc>
          <w:tcPr>
            <w:tcW w:w="75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Contingent consideration</w:t>
            </w:r>
          </w:p>
        </w:tc>
        <w:tc>
          <w:tcPr>
            <w:tcW w:w="100" w:type="dxa"/>
            <w:vAlign w:val="bottom"/>
            <w:tcBorders>
              <w:bottom w:val="single" w:sz="8" w:color="E4E4E4"/>
            </w:tcBorders>
          </w:tcPr>
          <w:p>
            <w:pPr>
              <w:spacing w:after="0"/>
              <w:rPr>
                <w:sz w:val="19"/>
                <w:szCs w:val="19"/>
                <w:color w:val="auto"/>
              </w:rPr>
            </w:pPr>
          </w:p>
        </w:tc>
        <w:tc>
          <w:tcPr>
            <w:tcW w:w="50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1,000</w:t>
            </w:r>
          </w:p>
        </w:tc>
        <w:tc>
          <w:tcPr>
            <w:tcW w:w="100" w:type="dxa"/>
            <w:vAlign w:val="bottom"/>
            <w:tcBorders>
              <w:bottom w:val="single" w:sz="8" w:color="E4E4E4"/>
            </w:tcBorders>
          </w:tcPr>
          <w:p>
            <w:pPr>
              <w:spacing w:after="0"/>
              <w:rPr>
                <w:sz w:val="19"/>
                <w:szCs w:val="19"/>
                <w:color w:val="auto"/>
              </w:rPr>
            </w:pPr>
          </w:p>
        </w:tc>
      </w:tr>
      <w:tr>
        <w:trPr>
          <w:trHeight w:val="220"/>
        </w:trPr>
        <w:tc>
          <w:tcPr>
            <w:tcW w:w="754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Purchase price</w:t>
            </w:r>
          </w:p>
        </w:tc>
        <w:tc>
          <w:tcPr>
            <w:tcW w:w="100" w:type="dxa"/>
            <w:vAlign w:val="bottom"/>
            <w:shd w:val="clear" w:color="auto" w:fill="E4E4E4"/>
          </w:tcPr>
          <w:p>
            <w:pPr>
              <w:spacing w:after="0"/>
              <w:rPr>
                <w:sz w:val="19"/>
                <w:szCs w:val="19"/>
                <w:color w:val="auto"/>
              </w:rPr>
            </w:pPr>
          </w:p>
        </w:tc>
        <w:tc>
          <w:tcPr>
            <w:tcW w:w="500" w:type="dxa"/>
            <w:vAlign w:val="bottom"/>
            <w:tcBorders>
              <w:bottom w:val="single" w:sz="8" w:color="1E1E1E"/>
            </w:tcBorders>
            <w:shd w:val="clear" w:color="auto" w:fill="E4E4E4"/>
          </w:tcPr>
          <w:p>
            <w:pPr>
              <w:jc w:val="right"/>
              <w:ind w:right="3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99,443</w:t>
            </w:r>
          </w:p>
        </w:tc>
        <w:tc>
          <w:tcPr>
            <w:tcW w:w="100" w:type="dxa"/>
            <w:vAlign w:val="bottom"/>
            <w:shd w:val="clear" w:color="auto" w:fill="E4E4E4"/>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 xml:space="preserve">The contingent consideration was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 metrics and time to payment. The contingent consideration was recorded in accrued expenses and other current liabilities in the accompanying consolidated balance sheet as of December 31, 2023. Refer to Note 12. </w:t>
      </w:r>
      <w:r>
        <w:rPr>
          <w:rFonts w:ascii="Times New Roman" w:cs="Times New Roman" w:eastAsia="Times New Roman" w:hAnsi="Times New Roman"/>
          <w:sz w:val="20"/>
          <w:szCs w:val="20"/>
          <w:i w:val="1"/>
          <w:iCs w:val="1"/>
          <w:color w:val="1E1E1E"/>
        </w:rPr>
        <w:t>Fair Value</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Measurements </w:t>
      </w:r>
      <w:r>
        <w:rPr>
          <w:rFonts w:ascii="Times New Roman" w:cs="Times New Roman" w:eastAsia="Times New Roman" w:hAnsi="Times New Roman"/>
          <w:sz w:val="20"/>
          <w:szCs w:val="20"/>
          <w:color w:val="1E1E1E"/>
        </w:rPr>
        <w:t>for updates to the fair value of this contingent consideration subsequent to the acquisition date.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Company finalized the purchase price allocations of the AW acquisition during the first quarter of 2023.</w:t>
      </w:r>
    </w:p>
    <w:p>
      <w:pPr>
        <w:spacing w:after="0"/>
        <w:rPr>
          <w:sz w:val="20"/>
          <w:szCs w:val="20"/>
          <w:color w:val="auto"/>
        </w:rPr>
      </w:pPr>
      <w:r>
        <w:rPr>
          <w:rFonts w:ascii="Times New Roman" w:cs="Times New Roman" w:eastAsia="Times New Roman" w:hAnsi="Times New Roman"/>
          <w:sz w:val="20"/>
          <w:szCs w:val="20"/>
          <w:color w:val="1E1E1E"/>
        </w:rPr>
        <w:t>Acquisition-date fair values of assets and liabilities pertaining to this business combination have been allocated as follows:</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1E1E1E"/>
                <w:w w:val="99"/>
              </w:rPr>
              <w:t>Preliminary, as</w:t>
            </w:r>
          </w:p>
        </w:tc>
        <w:tc>
          <w:tcPr>
            <w:tcW w:w="160" w:type="dxa"/>
            <w:vAlign w:val="bottom"/>
          </w:tcPr>
          <w:p>
            <w:pPr>
              <w:spacing w:after="0"/>
              <w:rPr>
                <w:sz w:val="16"/>
                <w:szCs w:val="16"/>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1E1E1E"/>
              </w:rPr>
              <w:t>Measurement</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1E1E1E"/>
              </w:rPr>
              <w:t>Purchase price allocation:</w:t>
            </w:r>
          </w:p>
        </w:tc>
        <w:tc>
          <w:tcPr>
            <w:tcW w:w="140" w:type="dxa"/>
            <w:vAlign w:val="bottom"/>
          </w:tcPr>
          <w:p>
            <w:pPr>
              <w:spacing w:after="0"/>
              <w:rPr>
                <w:sz w:val="17"/>
                <w:szCs w:val="17"/>
                <w:color w:val="auto"/>
              </w:rPr>
            </w:pP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1E1E1E"/>
              </w:rPr>
              <w:t>originally reported</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1E1E1E"/>
              </w:rPr>
              <w:t>period adjustments</w:t>
            </w:r>
          </w:p>
        </w:tc>
        <w:tc>
          <w:tcPr>
            <w:tcW w:w="20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1E1E1E"/>
              </w:rPr>
              <w:t>As adjusted</w:t>
            </w:r>
          </w:p>
        </w:tc>
      </w:tr>
      <w:tr>
        <w:trPr>
          <w:trHeight w:val="220"/>
        </w:trPr>
        <w:tc>
          <w:tcPr>
            <w:tcW w:w="45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Cash</w:t>
            </w:r>
          </w:p>
        </w:tc>
        <w:tc>
          <w:tcPr>
            <w:tcW w:w="14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2,146</w:t>
            </w:r>
          </w:p>
        </w:tc>
        <w:tc>
          <w:tcPr>
            <w:tcW w:w="22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20" w:type="dxa"/>
            <w:vAlign w:val="bottom"/>
            <w:tcBorders>
              <w:top w:val="single" w:sz="8" w:color="E4E4E4"/>
            </w:tcBorders>
            <w:shd w:val="clear" w:color="auto" w:fill="E4E4E4"/>
          </w:tcPr>
          <w:p>
            <w:pPr>
              <w:spacing w:after="0"/>
              <w:rPr>
                <w:sz w:val="19"/>
                <w:szCs w:val="19"/>
                <w:color w:val="auto"/>
              </w:rPr>
            </w:pPr>
          </w:p>
        </w:tc>
        <w:tc>
          <w:tcPr>
            <w:tcW w:w="2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2,146</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1E1E1E"/>
              </w:rPr>
              <w:t>Accounts receivable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3,525</w:t>
            </w:r>
          </w:p>
        </w:tc>
        <w:tc>
          <w:tcPr>
            <w:tcW w:w="100" w:type="dxa"/>
            <w:vAlign w:val="bottom"/>
          </w:tcPr>
          <w:p>
            <w:pPr>
              <w:spacing w:after="0"/>
              <w:rPr>
                <w:sz w:val="19"/>
                <w:szCs w:val="19"/>
                <w:color w:val="auto"/>
              </w:rPr>
            </w:pPr>
          </w:p>
        </w:tc>
      </w:tr>
      <w:tr>
        <w:trPr>
          <w:trHeight w:val="230"/>
        </w:trPr>
        <w:tc>
          <w:tcPr>
            <w:tcW w:w="4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506</w:t>
            </w: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300</w:t>
            </w:r>
          </w:p>
        </w:tc>
        <w:tc>
          <w:tcPr>
            <w:tcW w:w="2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806</w:t>
            </w:r>
          </w:p>
        </w:tc>
        <w:tc>
          <w:tcPr>
            <w:tcW w:w="100" w:type="dxa"/>
            <w:vAlign w:val="bottom"/>
            <w:shd w:val="clear" w:color="auto" w:fill="E4E4E4"/>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1E1E1E"/>
              </w:rPr>
              <w:t>Property and equipment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w:t>
            </w:r>
          </w:p>
        </w:tc>
        <w:tc>
          <w:tcPr>
            <w:tcW w:w="100" w:type="dxa"/>
            <w:vAlign w:val="bottom"/>
          </w:tcPr>
          <w:p>
            <w:pPr>
              <w:spacing w:after="0"/>
              <w:rPr>
                <w:sz w:val="19"/>
                <w:szCs w:val="19"/>
                <w:color w:val="auto"/>
              </w:rPr>
            </w:pPr>
          </w:p>
        </w:tc>
      </w:tr>
      <w:tr>
        <w:trPr>
          <w:trHeight w:val="230"/>
        </w:trPr>
        <w:tc>
          <w:tcPr>
            <w:tcW w:w="4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Intangible assets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46,000</w:t>
            </w: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42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46,000</w:t>
            </w:r>
          </w:p>
        </w:tc>
        <w:tc>
          <w:tcPr>
            <w:tcW w:w="100" w:type="dxa"/>
            <w:vAlign w:val="bottom"/>
            <w:shd w:val="clear" w:color="auto" w:fill="E4E4E4"/>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1E1E1E"/>
              </w:rPr>
              <w:t>Right-of-use asset, operating leases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832</w:t>
            </w:r>
          </w:p>
        </w:tc>
        <w:tc>
          <w:tcPr>
            <w:tcW w:w="100" w:type="dxa"/>
            <w:vAlign w:val="bottom"/>
          </w:tcPr>
          <w:p>
            <w:pPr>
              <w:spacing w:after="0"/>
              <w:rPr>
                <w:sz w:val="19"/>
                <w:szCs w:val="19"/>
                <w:color w:val="auto"/>
              </w:rPr>
            </w:pPr>
          </w:p>
        </w:tc>
      </w:tr>
      <w:tr>
        <w:trPr>
          <w:trHeight w:val="230"/>
        </w:trPr>
        <w:tc>
          <w:tcPr>
            <w:tcW w:w="4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 assets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44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703</w:t>
            </w:r>
          </w:p>
        </w:tc>
        <w:tc>
          <w:tcPr>
            <w:tcW w:w="2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703</w:t>
            </w:r>
          </w:p>
        </w:tc>
        <w:tc>
          <w:tcPr>
            <w:tcW w:w="100" w:type="dxa"/>
            <w:vAlign w:val="bottom"/>
            <w:shd w:val="clear" w:color="auto" w:fill="E4E4E4"/>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1E1E1E"/>
              </w:rPr>
              <w:t>Accounts payable and accrued 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(485)</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(502)</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(987)</w:t>
            </w:r>
          </w:p>
        </w:tc>
      </w:tr>
      <w:tr>
        <w:trPr>
          <w:trHeight w:val="230"/>
        </w:trPr>
        <w:tc>
          <w:tcPr>
            <w:tcW w:w="4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revenue</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44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(3,691)</w:t>
            </w:r>
          </w:p>
        </w:tc>
        <w:tc>
          <w:tcPr>
            <w:tcW w:w="16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326</w:t>
            </w:r>
          </w:p>
        </w:tc>
        <w:tc>
          <w:tcPr>
            <w:tcW w:w="2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(3,365)</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1E1E1E"/>
              </w:rPr>
              <w:t>Right-of-use liability, operating leases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(832)</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(832)</w:t>
            </w:r>
          </w:p>
        </w:tc>
      </w:tr>
      <w:tr>
        <w:trPr>
          <w:trHeight w:val="230"/>
        </w:trPr>
        <w:tc>
          <w:tcPr>
            <w:tcW w:w="45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taxes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44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(10,345)</w:t>
            </w:r>
          </w:p>
        </w:tc>
        <w:tc>
          <w:tcPr>
            <w:tcW w:w="16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67</w:t>
            </w:r>
          </w:p>
        </w:tc>
        <w:tc>
          <w:tcPr>
            <w:tcW w:w="2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(10,278)</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1E1E1E"/>
              </w:rPr>
              <w:t>Other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(267)</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(633)</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(900)</w:t>
            </w:r>
          </w:p>
        </w:tc>
      </w:tr>
      <w:tr>
        <w:trPr>
          <w:trHeight w:val="220"/>
        </w:trPr>
        <w:tc>
          <w:tcPr>
            <w:tcW w:w="45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 assets acquired and liabilities assumed</w:t>
            </w:r>
          </w:p>
        </w:tc>
        <w:tc>
          <w:tcPr>
            <w:tcW w:w="14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12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37,573</w:t>
            </w:r>
          </w:p>
        </w:tc>
        <w:tc>
          <w:tcPr>
            <w:tcW w:w="22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rPr>
                <w:sz w:val="19"/>
                <w:szCs w:val="19"/>
                <w:color w:val="auto"/>
              </w:rPr>
            </w:pPr>
          </w:p>
        </w:tc>
        <w:tc>
          <w:tcPr>
            <w:tcW w:w="12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211</w:t>
            </w:r>
          </w:p>
        </w:tc>
        <w:tc>
          <w:tcPr>
            <w:tcW w:w="220" w:type="dxa"/>
            <w:vAlign w:val="bottom"/>
            <w:tcBorders>
              <w:top w:val="single" w:sz="8" w:color="E4E4E4"/>
            </w:tcBorders>
            <w:shd w:val="clear" w:color="auto" w:fill="E4E4E4"/>
          </w:tcPr>
          <w:p>
            <w:pPr>
              <w:spacing w:after="0"/>
              <w:rPr>
                <w:sz w:val="19"/>
                <w:szCs w:val="19"/>
                <w:color w:val="auto"/>
              </w:rPr>
            </w:pPr>
          </w:p>
        </w:tc>
        <w:tc>
          <w:tcPr>
            <w:tcW w:w="200" w:type="dxa"/>
            <w:vAlign w:val="bottom"/>
            <w:tcBorders>
              <w:top w:val="single" w:sz="8" w:color="1E1E1E"/>
            </w:tcBorders>
            <w:shd w:val="clear" w:color="auto" w:fill="E4E4E4"/>
          </w:tcPr>
          <w:p>
            <w:pPr>
              <w:spacing w:after="0"/>
              <w:rPr>
                <w:sz w:val="19"/>
                <w:szCs w:val="19"/>
                <w:color w:val="auto"/>
              </w:rPr>
            </w:pPr>
          </w:p>
        </w:tc>
        <w:tc>
          <w:tcPr>
            <w:tcW w:w="1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37,784</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45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Goodwill</w:t>
            </w:r>
          </w:p>
        </w:tc>
        <w:tc>
          <w:tcPr>
            <w:tcW w:w="140" w:type="dxa"/>
            <w:vAlign w:val="bottom"/>
            <w:tcBorders>
              <w:bottom w:val="single" w:sz="8" w:color="E4E4E4"/>
            </w:tcBorders>
          </w:tcPr>
          <w:p>
            <w:pPr>
              <w:spacing w:after="0"/>
              <w:rPr>
                <w:sz w:val="19"/>
                <w:szCs w:val="19"/>
                <w:color w:val="auto"/>
              </w:rPr>
            </w:pPr>
          </w:p>
        </w:tc>
        <w:tc>
          <w:tcPr>
            <w:tcW w:w="140" w:type="dxa"/>
            <w:vAlign w:val="bottom"/>
            <w:tcBorders>
              <w:bottom w:val="single" w:sz="8" w:color="1E1E1E"/>
            </w:tcBorders>
          </w:tcPr>
          <w:p>
            <w:pPr>
              <w:spacing w:after="0"/>
              <w:rPr>
                <w:sz w:val="19"/>
                <w:szCs w:val="19"/>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62,072</w:t>
            </w:r>
          </w:p>
        </w:tc>
        <w:tc>
          <w:tcPr>
            <w:tcW w:w="220" w:type="dxa"/>
            <w:vAlign w:val="bottom"/>
            <w:tcBorders>
              <w:bottom w:val="single" w:sz="8" w:color="E4E4E4"/>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(413)</w:t>
            </w:r>
          </w:p>
        </w:tc>
        <w:tc>
          <w:tcPr>
            <w:tcW w:w="220" w:type="dxa"/>
            <w:vAlign w:val="bottom"/>
            <w:tcBorders>
              <w:bottom w:val="single" w:sz="8" w:color="E4E4E4"/>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61,659</w:t>
            </w:r>
          </w:p>
        </w:tc>
        <w:tc>
          <w:tcPr>
            <w:tcW w:w="100" w:type="dxa"/>
            <w:vAlign w:val="bottom"/>
            <w:tcBorders>
              <w:bottom w:val="single" w:sz="8" w:color="E4E4E4"/>
            </w:tcBorders>
          </w:tcPr>
          <w:p>
            <w:pPr>
              <w:spacing w:after="0"/>
              <w:rPr>
                <w:sz w:val="19"/>
                <w:szCs w:val="19"/>
                <w:color w:val="auto"/>
              </w:rPr>
            </w:pPr>
          </w:p>
        </w:tc>
      </w:tr>
      <w:tr>
        <w:trPr>
          <w:trHeight w:val="220"/>
        </w:trPr>
        <w:tc>
          <w:tcPr>
            <w:tcW w:w="4560" w:type="dxa"/>
            <w:vAlign w:val="bottom"/>
            <w:shd w:val="clear" w:color="auto" w:fill="E4E4E4"/>
          </w:tcPr>
          <w:p>
            <w:pPr>
              <w:ind w:left="300"/>
              <w:spacing w:after="0" w:line="220" w:lineRule="exact"/>
              <w:rPr>
                <w:sz w:val="20"/>
                <w:szCs w:val="20"/>
                <w:color w:val="auto"/>
              </w:rPr>
            </w:pPr>
            <w:r>
              <w:rPr>
                <w:rFonts w:ascii="Times New Roman" w:cs="Times New Roman" w:eastAsia="Times New Roman" w:hAnsi="Times New Roman"/>
                <w:sz w:val="20"/>
                <w:szCs w:val="20"/>
                <w:color w:val="1E1E1E"/>
              </w:rPr>
              <w:t>Purchase price</w:t>
            </w:r>
          </w:p>
        </w:tc>
        <w:tc>
          <w:tcPr>
            <w:tcW w:w="140" w:type="dxa"/>
            <w:vAlign w:val="bottom"/>
            <w:shd w:val="clear" w:color="auto" w:fill="E4E4E4"/>
          </w:tcPr>
          <w:p>
            <w:pPr>
              <w:spacing w:after="0"/>
              <w:rPr>
                <w:sz w:val="19"/>
                <w:szCs w:val="19"/>
                <w:color w:val="auto"/>
              </w:rPr>
            </w:pPr>
          </w:p>
        </w:tc>
        <w:tc>
          <w:tcPr>
            <w:tcW w:w="1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99,645</w:t>
            </w:r>
          </w:p>
        </w:tc>
        <w:tc>
          <w:tcPr>
            <w:tcW w:w="22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w:t>
            </w:r>
          </w:p>
        </w:tc>
        <w:tc>
          <w:tcPr>
            <w:tcW w:w="220" w:type="dxa"/>
            <w:vAlign w:val="bottom"/>
            <w:shd w:val="clear" w:color="auto" w:fill="E4E4E4"/>
          </w:tcPr>
          <w:p>
            <w:pPr>
              <w:spacing w:after="0"/>
              <w:rPr>
                <w:sz w:val="19"/>
                <w:szCs w:val="19"/>
                <w:color w:val="auto"/>
              </w:rPr>
            </w:pPr>
          </w:p>
        </w:tc>
        <w:tc>
          <w:tcPr>
            <w:tcW w:w="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99,443</w:t>
            </w:r>
          </w:p>
        </w:tc>
        <w:tc>
          <w:tcPr>
            <w:tcW w:w="100" w:type="dxa"/>
            <w:vAlign w:val="bottom"/>
            <w:shd w:val="clear" w:color="auto" w:fill="E4E4E4"/>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As a result of the AW acquisition, the Company recorded goodwill, customer relationships, developed software, and tradename of $61.7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F-24</w:t>
      </w:r>
    </w:p>
    <w:p>
      <w:pPr>
        <w:sectPr>
          <w:pgSz w:w="11880" w:h="15480" w:orient="portrait"/>
          <w:cols w:equalWidth="0" w:num="1">
            <w:col w:w="10220"/>
          </w:cols>
          <w:pgMar w:left="820" w:top="806" w:right="840" w:bottom="8" w:gutter="0" w:footer="0" w:header="0"/>
          <w:type w:val="continuous"/>
        </w:sectPr>
      </w:pPr>
    </w:p>
    <w:bookmarkStart w:id="108" w:name="page109"/>
    <w:bookmarkEnd w:id="108"/>
    <w:p>
      <w:pPr>
        <w:ind w:firstLine="490"/>
        <w:spacing w:after="0" w:line="246" w:lineRule="auto"/>
        <w:rPr>
          <w:sz w:val="20"/>
          <w:szCs w:val="20"/>
          <w:color w:val="auto"/>
        </w:rPr>
      </w:pPr>
      <w:r>
        <w:rPr>
          <w:rFonts w:ascii="Times New Roman" w:cs="Times New Roman" w:eastAsia="Times New Roman" w:hAnsi="Times New Roman"/>
          <w:sz w:val="20"/>
          <w:szCs w:val="20"/>
          <w:color w:val="1E1E1E"/>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8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70"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1E1E1E"/>
        </w:rPr>
        <w:t xml:space="preserve">In total, intangible assets acquired in the AW acquisition are estimated to be amortized over a weighted-average period of 18.0 years. See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 xml:space="preserve"> for the estimated total intangible amortization expense during the next five years.</w:t>
      </w:r>
    </w:p>
    <w:p>
      <w:pPr>
        <w:spacing w:after="0" w:line="65"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1E1E1E"/>
        </w:rPr>
        <w:t>In connection with the acquisition, the Company recognized acquisition related costs of $1.3 million which were recorded within transaction expenses in the accompanying consolidated statements of operations for the year ended December 31, 2022.</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Unaudited Pro Forma Supplementary Data as if the transaction had occurred on January 1, 2022:</w:t>
      </w:r>
    </w:p>
    <w:p>
      <w:pPr>
        <w:spacing w:after="0" w:line="242"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Pr>
          <w:p>
            <w:pPr>
              <w:spacing w:after="0"/>
              <w:rPr>
                <w:sz w:val="17"/>
                <w:szCs w:val="17"/>
                <w:color w:val="auto"/>
              </w:rPr>
            </w:pPr>
          </w:p>
        </w:tc>
        <w:tc>
          <w:tcPr>
            <w:tcW w:w="23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1E1E1E"/>
              </w:rPr>
              <w:t>Year Ended December 31, 2022</w:t>
            </w:r>
          </w:p>
        </w:tc>
      </w:tr>
      <w:tr>
        <w:trPr>
          <w:trHeight w:val="220"/>
        </w:trPr>
        <w:tc>
          <w:tcPr>
            <w:tcW w:w="64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Revenue</w:t>
            </w:r>
          </w:p>
        </w:tc>
        <w:tc>
          <w:tcPr>
            <w:tcW w:w="160" w:type="dxa"/>
            <w:vAlign w:val="bottom"/>
            <w:tcBorders>
              <w:top w:val="single" w:sz="8" w:color="E4E4E4"/>
            </w:tcBorders>
            <w:shd w:val="clear" w:color="auto" w:fill="E4E4E4"/>
          </w:tcPr>
          <w:p>
            <w:pPr>
              <w:spacing w:after="0"/>
              <w:rPr>
                <w:sz w:val="19"/>
                <w:szCs w:val="19"/>
                <w:color w:val="auto"/>
              </w:rPr>
            </w:pPr>
          </w:p>
        </w:tc>
        <w:tc>
          <w:tcPr>
            <w:tcW w:w="860" w:type="dxa"/>
            <w:vAlign w:val="bottom"/>
            <w:tcBorders>
              <w:top w:val="single" w:sz="8" w:color="1E1E1E"/>
            </w:tcBorders>
            <w:shd w:val="clear" w:color="auto" w:fill="E4E4E4"/>
          </w:tcPr>
          <w:p>
            <w:pPr>
              <w:jc w:val="right"/>
              <w:ind w:right="67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4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224,130</w:t>
            </w:r>
          </w:p>
        </w:tc>
        <w:tc>
          <w:tcPr>
            <w:tcW w:w="100" w:type="dxa"/>
            <w:vAlign w:val="bottom"/>
            <w:tcBorders>
              <w:top w:val="single" w:sz="8" w:color="E4E4E4"/>
            </w:tcBorders>
            <w:shd w:val="clear" w:color="auto" w:fill="E4E4E4"/>
          </w:tcPr>
          <w:p>
            <w:pPr>
              <w:spacing w:after="0"/>
              <w:rPr>
                <w:sz w:val="19"/>
                <w:szCs w:val="19"/>
                <w:color w:val="auto"/>
              </w:rPr>
            </w:pPr>
          </w:p>
        </w:tc>
      </w:tr>
      <w:tr>
        <w:trPr>
          <w:trHeight w:val="268"/>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1E1E1E"/>
              </w:rPr>
              <w:t>Net loss</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(26,443)</w:t>
            </w:r>
          </w:p>
        </w:tc>
        <w:tc>
          <w:tcPr>
            <w:tcW w:w="100" w:type="dxa"/>
            <w:vAlign w:val="bottom"/>
          </w:tcPr>
          <w:p>
            <w:pPr>
              <w:spacing w:after="0"/>
              <w:rPr>
                <w:sz w:val="23"/>
                <w:szCs w:val="23"/>
                <w:color w:val="auto"/>
              </w:rPr>
            </w:pPr>
          </w:p>
        </w:tc>
      </w:tr>
    </w:tbl>
    <w:p>
      <w:pPr>
        <w:spacing w:after="0" w:line="181"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F-25</w:t>
      </w:r>
    </w:p>
    <w:p>
      <w:pPr>
        <w:sectPr>
          <w:pgSz w:w="11880" w:h="15480" w:orient="portrait"/>
          <w:cols w:equalWidth="0" w:num="1">
            <w:col w:w="10220"/>
          </w:cols>
          <w:pgMar w:left="820" w:top="806" w:right="840" w:bottom="8" w:gutter="0" w:footer="0" w:header="0"/>
          <w:type w:val="continuous"/>
        </w:sectPr>
      </w:pPr>
    </w:p>
    <w:bookmarkStart w:id="109" w:name="page110"/>
    <w:bookmarkEnd w:id="109"/>
    <w:p>
      <w:pPr>
        <w:ind w:left="500" w:hanging="492"/>
        <w:spacing w:after="0"/>
        <w:tabs>
          <w:tab w:leader="none" w:pos="500" w:val="left"/>
        </w:tabs>
        <w:numPr>
          <w:ilvl w:val="0"/>
          <w:numId w:val="41"/>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Revenue</w:t>
      </w:r>
    </w:p>
    <w:p>
      <w:pPr>
        <w:spacing w:after="0" w:line="123" w:lineRule="exact"/>
        <w:rPr>
          <w:sz w:val="20"/>
          <w:szCs w:val="20"/>
          <w:color w:val="auto"/>
        </w:rPr>
      </w:pPr>
    </w:p>
    <w:p>
      <w:pPr>
        <w:ind w:right="220" w:firstLine="490"/>
        <w:spacing w:after="0" w:line="259" w:lineRule="auto"/>
        <w:rPr>
          <w:sz w:val="20"/>
          <w:szCs w:val="20"/>
          <w:color w:val="auto"/>
        </w:rPr>
      </w:pPr>
      <w:r>
        <w:rPr>
          <w:rFonts w:ascii="Times New Roman" w:cs="Times New Roman" w:eastAsia="Times New Roman" w:hAnsi="Times New Roman"/>
          <w:sz w:val="20"/>
          <w:szCs w:val="20"/>
          <w:color w:val="1E1E1E"/>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65" w:lineRule="exact"/>
        <w:rPr>
          <w:sz w:val="20"/>
          <w:szCs w:val="20"/>
          <w:color w:val="auto"/>
        </w:rPr>
      </w:pPr>
    </w:p>
    <w:p>
      <w:pPr>
        <w:ind w:right="440" w:firstLine="490"/>
        <w:spacing w:after="0" w:line="279" w:lineRule="auto"/>
        <w:rPr>
          <w:sz w:val="20"/>
          <w:szCs w:val="20"/>
          <w:color w:val="auto"/>
        </w:rPr>
      </w:pPr>
      <w:r>
        <w:rPr>
          <w:rFonts w:ascii="Times New Roman" w:cs="Times New Roman" w:eastAsia="Times New Roman" w:hAnsi="Times New Roman"/>
          <w:sz w:val="20"/>
          <w:szCs w:val="20"/>
          <w:color w:val="1E1E1E"/>
        </w:rPr>
        <w:t>The following table represents a disaggregation of revenue from arrangements with customers for the years ended December 31, 2023, 2022 and 2021.</w:t>
      </w:r>
    </w:p>
    <w:p>
      <w:pPr>
        <w:spacing w:after="0" w:line="16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920" w:type="dxa"/>
            <w:vAlign w:val="bottom"/>
            <w:tcBorders>
              <w:bottom w:val="single" w:sz="8" w:color="1E1E1E"/>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6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020" w:type="dxa"/>
            <w:vAlign w:val="bottom"/>
            <w:tcBorders>
              <w:bottom w:val="single" w:sz="8" w:color="E4E4E4"/>
            </w:tcBorders>
            <w:vMerge w:val="continue"/>
          </w:tcPr>
          <w:p>
            <w:pPr>
              <w:spacing w:after="0"/>
              <w:rPr>
                <w:sz w:val="15"/>
                <w:szCs w:val="15"/>
                <w:color w:val="auto"/>
              </w:rPr>
            </w:pPr>
          </w:p>
        </w:tc>
        <w:tc>
          <w:tcPr>
            <w:tcW w:w="14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960" w:type="dxa"/>
            <w:vAlign w:val="bottom"/>
            <w:tcBorders>
              <w:bottom w:val="single" w:sz="8" w:color="1E1E1E"/>
            </w:tcBorders>
          </w:tcPr>
          <w:p>
            <w:pPr>
              <w:jc w:val="right"/>
              <w:ind w:right="368"/>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960" w:type="dxa"/>
            <w:vAlign w:val="bottom"/>
            <w:tcBorders>
              <w:bottom w:val="single" w:sz="8" w:color="1E1E1E"/>
            </w:tcBorders>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4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960" w:type="dxa"/>
            <w:vAlign w:val="bottom"/>
            <w:tcBorders>
              <w:bottom w:val="single" w:sz="8" w:color="1E1E1E"/>
            </w:tcBorders>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Subscription services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243,052</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217,024</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164,564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Professional services</w:t>
            </w:r>
          </w:p>
        </w:tc>
        <w:tc>
          <w:tcPr>
            <w:tcW w:w="14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8,363</w:t>
            </w:r>
          </w:p>
        </w:tc>
        <w:tc>
          <w:tcPr>
            <w:tcW w:w="24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5,629</w:t>
            </w:r>
          </w:p>
        </w:tc>
        <w:tc>
          <w:tcPr>
            <w:tcW w:w="240" w:type="dxa"/>
            <w:vAlign w:val="bottom"/>
            <w:tcBorders>
              <w:bottom w:val="single" w:sz="8" w:color="E4E4E4"/>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1,590</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 revenue</w:t>
            </w:r>
          </w:p>
        </w:tc>
        <w:tc>
          <w:tcPr>
            <w:tcW w:w="140" w:type="dxa"/>
            <w:vAlign w:val="bottom"/>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251,415</w:t>
            </w:r>
          </w:p>
        </w:tc>
        <w:tc>
          <w:tcPr>
            <w:tcW w:w="240" w:type="dxa"/>
            <w:vAlign w:val="bottom"/>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222,653</w:t>
            </w:r>
          </w:p>
        </w:tc>
        <w:tc>
          <w:tcPr>
            <w:tcW w:w="240" w:type="dxa"/>
            <w:vAlign w:val="bottom"/>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166,154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20"/>
          <w:szCs w:val="20"/>
          <w:color w:val="1E1E1E"/>
        </w:rPr>
        <w:t>The opening and closing balances of the Company’s receivables, deferred contract costs, and contract liabilities from contracts with customers were as follows as of:</w:t>
      </w:r>
    </w:p>
    <w:p>
      <w:pPr>
        <w:spacing w:after="0" w:line="157"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6"/>
                <w:szCs w:val="16"/>
                <w:color w:val="auto"/>
              </w:rPr>
            </w:pPr>
          </w:p>
        </w:tc>
      </w:tr>
      <w:tr>
        <w:trPr>
          <w:trHeight w:val="204"/>
        </w:trPr>
        <w:tc>
          <w:tcPr>
            <w:tcW w:w="60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80" w:type="dxa"/>
            <w:vAlign w:val="bottom"/>
            <w:tcBorders>
              <w:bottom w:val="single" w:sz="8" w:color="1E1E1E"/>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60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Accounts receivable, net</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59,249</w:t>
            </w:r>
          </w:p>
        </w:tc>
        <w:tc>
          <w:tcPr>
            <w:tcW w:w="24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58,799</w:t>
            </w:r>
          </w:p>
        </w:tc>
        <w:tc>
          <w:tcPr>
            <w:tcW w:w="100" w:type="dxa"/>
            <w:vAlign w:val="bottom"/>
            <w:shd w:val="clear" w:color="auto" w:fill="E4E4E4"/>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1E1E1E"/>
              </w:rPr>
              <w:t>Deferred contract costs, current portion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10,387</w:t>
            </w:r>
          </w:p>
        </w:tc>
        <w:tc>
          <w:tcPr>
            <w:tcW w:w="100" w:type="dxa"/>
            <w:vAlign w:val="bottom"/>
          </w:tcPr>
          <w:p>
            <w:pPr>
              <w:spacing w:after="0"/>
              <w:rPr>
                <w:sz w:val="19"/>
                <w:szCs w:val="19"/>
                <w:color w:val="auto"/>
              </w:rPr>
            </w:pPr>
          </w:p>
        </w:tc>
      </w:tr>
      <w:tr>
        <w:trPr>
          <w:trHeight w:val="230"/>
        </w:trPr>
        <w:tc>
          <w:tcPr>
            <w:tcW w:w="60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Deferred contract costs, noncurrent portion</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2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17,320</w:t>
            </w:r>
          </w:p>
        </w:tc>
        <w:tc>
          <w:tcPr>
            <w:tcW w:w="2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14,596</w:t>
            </w:r>
          </w:p>
        </w:tc>
        <w:tc>
          <w:tcPr>
            <w:tcW w:w="100" w:type="dxa"/>
            <w:vAlign w:val="bottom"/>
            <w:shd w:val="clear" w:color="auto" w:fill="E4E4E4"/>
          </w:tcPr>
          <w:p>
            <w:pPr>
              <w:spacing w:after="0"/>
              <w:rPr>
                <w:sz w:val="19"/>
                <w:szCs w:val="19"/>
                <w:color w:val="auto"/>
              </w:rPr>
            </w:pPr>
          </w:p>
        </w:tc>
      </w:tr>
      <w:tr>
        <w:trPr>
          <w:trHeight w:val="268"/>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1E1E1E"/>
              </w:rPr>
              <w:t>Deferred revenues</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97,386</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99,928</w:t>
            </w:r>
          </w:p>
        </w:tc>
        <w:tc>
          <w:tcPr>
            <w:tcW w:w="100" w:type="dxa"/>
            <w:vAlign w:val="bottom"/>
          </w:tcPr>
          <w:p>
            <w:pPr>
              <w:spacing w:after="0"/>
              <w:rPr>
                <w:sz w:val="23"/>
                <w:szCs w:val="23"/>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Deferred Contract Costs</w:t>
      </w:r>
    </w:p>
    <w:p>
      <w:pPr>
        <w:spacing w:after="0" w:line="118"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A summary of the activity impacting the deferred contract costs during the years ended December 31, 2023 and 2022 is presented below:</w:t>
      </w:r>
    </w:p>
    <w:p>
      <w:pPr>
        <w:spacing w:after="0" w:line="157"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4"/>
        </w:trPr>
        <w:tc>
          <w:tcPr>
            <w:tcW w:w="60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80" w:type="dxa"/>
            <w:vAlign w:val="bottom"/>
            <w:tcBorders>
              <w:bottom w:val="single" w:sz="8" w:color="1E1E1E"/>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60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Balance at beginning of year</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24,983</w:t>
            </w:r>
          </w:p>
        </w:tc>
        <w:tc>
          <w:tcPr>
            <w:tcW w:w="24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18,547</w:t>
            </w:r>
          </w:p>
        </w:tc>
        <w:tc>
          <w:tcPr>
            <w:tcW w:w="100" w:type="dxa"/>
            <w:vAlign w:val="bottom"/>
            <w:shd w:val="clear" w:color="auto" w:fill="E4E4E4"/>
          </w:tcPr>
          <w:p>
            <w:pPr>
              <w:spacing w:after="0"/>
              <w:rPr>
                <w:sz w:val="19"/>
                <w:szCs w:val="19"/>
                <w:color w:val="auto"/>
              </w:rPr>
            </w:pPr>
          </w:p>
        </w:tc>
      </w:tr>
      <w:tr>
        <w:trPr>
          <w:trHeight w:val="230"/>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Costs amortized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(12,963)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(8,816)</w:t>
            </w:r>
          </w:p>
        </w:tc>
        <w:tc>
          <w:tcPr>
            <w:tcW w:w="100" w:type="dxa"/>
            <w:vAlign w:val="bottom"/>
          </w:tcPr>
          <w:p>
            <w:pPr>
              <w:spacing w:after="0"/>
              <w:rPr>
                <w:sz w:val="19"/>
                <w:szCs w:val="19"/>
                <w:color w:val="auto"/>
              </w:rPr>
            </w:pPr>
          </w:p>
        </w:tc>
      </w:tr>
      <w:tr>
        <w:trPr>
          <w:trHeight w:val="230"/>
        </w:trPr>
        <w:tc>
          <w:tcPr>
            <w:tcW w:w="60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Additional amounts deferred</w:t>
            </w:r>
          </w:p>
        </w:tc>
        <w:tc>
          <w:tcPr>
            <w:tcW w:w="16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spacing w:after="0"/>
              <w:rPr>
                <w:sz w:val="19"/>
                <w:szCs w:val="19"/>
                <w:color w:val="auto"/>
              </w:rPr>
            </w:pPr>
          </w:p>
        </w:tc>
        <w:tc>
          <w:tcPr>
            <w:tcW w:w="12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18,790</w:t>
            </w:r>
          </w:p>
        </w:tc>
        <w:tc>
          <w:tcPr>
            <w:tcW w:w="24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spacing w:after="0"/>
              <w:rPr>
                <w:sz w:val="19"/>
                <w:szCs w:val="19"/>
                <w:color w:val="auto"/>
              </w:rPr>
            </w:pPr>
          </w:p>
        </w:tc>
        <w:tc>
          <w:tcPr>
            <w:tcW w:w="12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15,252</w:t>
            </w:r>
          </w:p>
        </w:tc>
        <w:tc>
          <w:tcPr>
            <w:tcW w:w="100" w:type="dxa"/>
            <w:vAlign w:val="bottom"/>
            <w:shd w:val="clear" w:color="auto" w:fill="E4E4E4"/>
          </w:tcPr>
          <w:p>
            <w:pPr>
              <w:spacing w:after="0"/>
              <w:rPr>
                <w:sz w:val="19"/>
                <w:szCs w:val="19"/>
                <w:color w:val="auto"/>
              </w:rPr>
            </w:pPr>
          </w:p>
        </w:tc>
      </w:tr>
      <w:tr>
        <w:trPr>
          <w:trHeight w:val="220"/>
        </w:trPr>
        <w:tc>
          <w:tcPr>
            <w:tcW w:w="6020" w:type="dxa"/>
            <w:vAlign w:val="bottom"/>
            <w:tcBorders>
              <w:bottom w:val="single" w:sz="8" w:color="E4E4E4"/>
            </w:tcBorders>
          </w:tcPr>
          <w:p>
            <w:pPr>
              <w:spacing w:after="0" w:line="220" w:lineRule="exact"/>
              <w:rPr>
                <w:sz w:val="20"/>
                <w:szCs w:val="20"/>
                <w:color w:val="auto"/>
              </w:rPr>
            </w:pPr>
            <w:r>
              <w:rPr>
                <w:rFonts w:ascii="Times New Roman" w:cs="Times New Roman" w:eastAsia="Times New Roman" w:hAnsi="Times New Roman"/>
                <w:sz w:val="20"/>
                <w:szCs w:val="20"/>
                <w:color w:val="1E1E1E"/>
              </w:rPr>
              <w:t>Balance at end of year</w:t>
            </w:r>
          </w:p>
        </w:tc>
        <w:tc>
          <w:tcPr>
            <w:tcW w:w="160" w:type="dxa"/>
            <w:vAlign w:val="bottom"/>
            <w:tcBorders>
              <w:bottom w:val="single" w:sz="8" w:color="E4E4E4"/>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30,810</w:t>
            </w:r>
          </w:p>
        </w:tc>
        <w:tc>
          <w:tcPr>
            <w:tcW w:w="24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24,983</w:t>
            </w:r>
          </w:p>
        </w:tc>
        <w:tc>
          <w:tcPr>
            <w:tcW w:w="100" w:type="dxa"/>
            <w:vAlign w:val="bottom"/>
            <w:tcBorders>
              <w:bottom w:val="single" w:sz="8" w:color="E4E4E4"/>
            </w:tcBorders>
          </w:tcPr>
          <w:p>
            <w:pPr>
              <w:spacing w:after="0"/>
              <w:rPr>
                <w:sz w:val="19"/>
                <w:szCs w:val="19"/>
                <w:color w:val="auto"/>
              </w:rPr>
            </w:pPr>
          </w:p>
        </w:tc>
      </w:tr>
      <w:tr>
        <w:trPr>
          <w:trHeight w:val="220"/>
        </w:trPr>
        <w:tc>
          <w:tcPr>
            <w:tcW w:w="60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Classified as:</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28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2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60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Current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10,387</w:t>
            </w:r>
          </w:p>
        </w:tc>
        <w:tc>
          <w:tcPr>
            <w:tcW w:w="100" w:type="dxa"/>
            <w:vAlign w:val="bottom"/>
          </w:tcPr>
          <w:p>
            <w:pPr>
              <w:spacing w:after="0"/>
              <w:rPr>
                <w:sz w:val="19"/>
                <w:szCs w:val="19"/>
                <w:color w:val="auto"/>
              </w:rPr>
            </w:pPr>
          </w:p>
        </w:tc>
      </w:tr>
      <w:tr>
        <w:trPr>
          <w:trHeight w:val="230"/>
        </w:trPr>
        <w:tc>
          <w:tcPr>
            <w:tcW w:w="60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Non-current</w:t>
            </w:r>
          </w:p>
        </w:tc>
        <w:tc>
          <w:tcPr>
            <w:tcW w:w="16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spacing w:after="0"/>
              <w:rPr>
                <w:sz w:val="19"/>
                <w:szCs w:val="19"/>
                <w:color w:val="auto"/>
              </w:rPr>
            </w:pPr>
          </w:p>
        </w:tc>
        <w:tc>
          <w:tcPr>
            <w:tcW w:w="12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17,320</w:t>
            </w:r>
          </w:p>
        </w:tc>
        <w:tc>
          <w:tcPr>
            <w:tcW w:w="24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spacing w:after="0"/>
              <w:rPr>
                <w:sz w:val="19"/>
                <w:szCs w:val="19"/>
                <w:color w:val="auto"/>
              </w:rPr>
            </w:pPr>
          </w:p>
        </w:tc>
        <w:tc>
          <w:tcPr>
            <w:tcW w:w="12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14,596</w:t>
            </w:r>
          </w:p>
        </w:tc>
        <w:tc>
          <w:tcPr>
            <w:tcW w:w="100" w:type="dxa"/>
            <w:vAlign w:val="bottom"/>
            <w:shd w:val="clear" w:color="auto" w:fill="E4E4E4"/>
          </w:tcPr>
          <w:p>
            <w:pPr>
              <w:spacing w:after="0"/>
              <w:rPr>
                <w:sz w:val="19"/>
                <w:szCs w:val="19"/>
                <w:color w:val="auto"/>
              </w:rPr>
            </w:pPr>
          </w:p>
        </w:tc>
      </w:tr>
      <w:tr>
        <w:trPr>
          <w:trHeight w:val="220"/>
        </w:trPr>
        <w:tc>
          <w:tcPr>
            <w:tcW w:w="6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deferred contract costs (deferred commissions)</w:t>
            </w:r>
          </w:p>
        </w:tc>
        <w:tc>
          <w:tcPr>
            <w:tcW w:w="160" w:type="dxa"/>
            <w:vAlign w:val="bottom"/>
          </w:tcPr>
          <w:p>
            <w:pPr>
              <w:spacing w:after="0"/>
              <w:rPr>
                <w:sz w:val="19"/>
                <w:szCs w:val="19"/>
                <w:color w:val="auto"/>
              </w:rPr>
            </w:pPr>
          </w:p>
        </w:tc>
        <w:tc>
          <w:tcPr>
            <w:tcW w:w="1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30,810</w:t>
            </w:r>
          </w:p>
        </w:tc>
        <w:tc>
          <w:tcPr>
            <w:tcW w:w="240" w:type="dxa"/>
            <w:vAlign w:val="bottom"/>
          </w:tcPr>
          <w:p>
            <w:pPr>
              <w:spacing w:after="0"/>
              <w:rPr>
                <w:sz w:val="19"/>
                <w:szCs w:val="19"/>
                <w:color w:val="auto"/>
              </w:rPr>
            </w:pPr>
          </w:p>
        </w:tc>
        <w:tc>
          <w:tcPr>
            <w:tcW w:w="1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24,983</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Contract Liabilities</w:t>
      </w:r>
    </w:p>
    <w:p>
      <w:pPr>
        <w:spacing w:after="0" w:line="118" w:lineRule="exact"/>
        <w:rPr>
          <w:sz w:val="20"/>
          <w:szCs w:val="20"/>
          <w:color w:val="auto"/>
        </w:rPr>
      </w:pPr>
    </w:p>
    <w:p>
      <w:pPr>
        <w:ind w:left="500" w:right="200"/>
        <w:spacing w:after="0" w:line="279" w:lineRule="auto"/>
        <w:rPr>
          <w:sz w:val="20"/>
          <w:szCs w:val="20"/>
          <w:color w:val="auto"/>
        </w:rPr>
      </w:pPr>
      <w:r>
        <w:rPr>
          <w:rFonts w:ascii="Times New Roman" w:cs="Times New Roman" w:eastAsia="Times New Roman" w:hAnsi="Times New Roman"/>
          <w:sz w:val="20"/>
          <w:szCs w:val="20"/>
          <w:color w:val="1E1E1E"/>
        </w:rPr>
        <w:t>A summary of the activity impacting deferred revenue balances during the years ended December 31, 2023 and 2022 is presented below as of:</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4"/>
        </w:trPr>
        <w:tc>
          <w:tcPr>
            <w:tcW w:w="59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80" w:type="dxa"/>
            <w:vAlign w:val="bottom"/>
            <w:tcBorders>
              <w:bottom w:val="single" w:sz="8" w:color="1E1E1E"/>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59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Balance at beginning of year</w:t>
            </w: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99,928</w:t>
            </w:r>
          </w:p>
        </w:tc>
        <w:tc>
          <w:tcPr>
            <w:tcW w:w="26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84,023</w:t>
            </w:r>
          </w:p>
        </w:tc>
        <w:tc>
          <w:tcPr>
            <w:tcW w:w="100" w:type="dxa"/>
            <w:vAlign w:val="bottom"/>
            <w:shd w:val="clear" w:color="auto" w:fill="E4E4E4"/>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1E1E1E"/>
              </w:rPr>
              <w:t>Revenue recognized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(251,415)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(222,653)</w:t>
            </w:r>
          </w:p>
        </w:tc>
        <w:tc>
          <w:tcPr>
            <w:tcW w:w="100" w:type="dxa"/>
            <w:vAlign w:val="bottom"/>
          </w:tcPr>
          <w:p>
            <w:pPr>
              <w:spacing w:after="0"/>
              <w:rPr>
                <w:sz w:val="19"/>
                <w:szCs w:val="19"/>
                <w:color w:val="auto"/>
              </w:rPr>
            </w:pPr>
          </w:p>
        </w:tc>
      </w:tr>
      <w:tr>
        <w:trPr>
          <w:trHeight w:val="230"/>
        </w:trPr>
        <w:tc>
          <w:tcPr>
            <w:tcW w:w="59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Additional amounts deferred</w:t>
            </w:r>
          </w:p>
        </w:tc>
        <w:tc>
          <w:tcPr>
            <w:tcW w:w="16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spacing w:after="0"/>
              <w:rPr>
                <w:sz w:val="19"/>
                <w:szCs w:val="19"/>
                <w:color w:val="auto"/>
              </w:rPr>
            </w:pPr>
          </w:p>
        </w:tc>
        <w:tc>
          <w:tcPr>
            <w:tcW w:w="12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248,873</w:t>
            </w:r>
          </w:p>
        </w:tc>
        <w:tc>
          <w:tcPr>
            <w:tcW w:w="26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spacing w:after="0"/>
              <w:rPr>
                <w:sz w:val="19"/>
                <w:szCs w:val="19"/>
                <w:color w:val="auto"/>
              </w:rPr>
            </w:pPr>
          </w:p>
        </w:tc>
        <w:tc>
          <w:tcPr>
            <w:tcW w:w="12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238,558</w:t>
            </w:r>
          </w:p>
        </w:tc>
        <w:tc>
          <w:tcPr>
            <w:tcW w:w="100" w:type="dxa"/>
            <w:vAlign w:val="bottom"/>
            <w:shd w:val="clear" w:color="auto" w:fill="E4E4E4"/>
          </w:tcPr>
          <w:p>
            <w:pPr>
              <w:spacing w:after="0"/>
              <w:rPr>
                <w:sz w:val="19"/>
                <w:szCs w:val="19"/>
                <w:color w:val="auto"/>
              </w:rPr>
            </w:pPr>
          </w:p>
        </w:tc>
      </w:tr>
      <w:tr>
        <w:trPr>
          <w:trHeight w:val="220"/>
        </w:trPr>
        <w:tc>
          <w:tcPr>
            <w:tcW w:w="59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Balance at end of year</w:t>
            </w:r>
          </w:p>
        </w:tc>
        <w:tc>
          <w:tcPr>
            <w:tcW w:w="160" w:type="dxa"/>
            <w:vAlign w:val="bottom"/>
          </w:tcPr>
          <w:p>
            <w:pPr>
              <w:spacing w:after="0"/>
              <w:rPr>
                <w:sz w:val="19"/>
                <w:szCs w:val="19"/>
                <w:color w:val="auto"/>
              </w:rPr>
            </w:pPr>
          </w:p>
        </w:tc>
        <w:tc>
          <w:tcPr>
            <w:tcW w:w="1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97,386</w:t>
            </w:r>
          </w:p>
        </w:tc>
        <w:tc>
          <w:tcPr>
            <w:tcW w:w="260" w:type="dxa"/>
            <w:vAlign w:val="bottom"/>
          </w:tcPr>
          <w:p>
            <w:pPr>
              <w:spacing w:after="0"/>
              <w:rPr>
                <w:sz w:val="19"/>
                <w:szCs w:val="19"/>
                <w:color w:val="auto"/>
              </w:rPr>
            </w:pPr>
          </w:p>
        </w:tc>
        <w:tc>
          <w:tcPr>
            <w:tcW w:w="1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99,928</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60"/>
          </w:cols>
          <w:pgMar w:left="820" w:top="803" w:right="10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1E1E1E"/>
        </w:rPr>
        <w:t>F-26</w:t>
      </w:r>
    </w:p>
    <w:p>
      <w:pPr>
        <w:sectPr>
          <w:pgSz w:w="11880" w:h="15480" w:orient="portrait"/>
          <w:cols w:equalWidth="0" w:num="1">
            <w:col w:w="10060"/>
          </w:cols>
          <w:pgMar w:left="820" w:top="803" w:right="1000" w:bottom="8"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1E1E1E"/>
        </w:rPr>
        <w:t>Remaining Performance Obligations</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remaining performance obligations consisted of the following as of:</w:t>
      </w:r>
    </w:p>
    <w:p>
      <w:pPr>
        <w:spacing w:after="0" w:line="27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68"/>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6"/>
                <w:szCs w:val="16"/>
                <w:color w:val="auto"/>
              </w:rPr>
            </w:pPr>
          </w:p>
        </w:tc>
      </w:tr>
      <w:tr>
        <w:trPr>
          <w:trHeight w:val="204"/>
        </w:trPr>
        <w:tc>
          <w:tcPr>
            <w:tcW w:w="59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80" w:type="dxa"/>
            <w:vAlign w:val="bottom"/>
            <w:tcBorders>
              <w:bottom w:val="single" w:sz="8" w:color="1E1E1E"/>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59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Current</w:t>
            </w: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187,331</w:t>
            </w:r>
          </w:p>
        </w:tc>
        <w:tc>
          <w:tcPr>
            <w:tcW w:w="26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183,527</w:t>
            </w:r>
          </w:p>
        </w:tc>
        <w:tc>
          <w:tcPr>
            <w:tcW w:w="100" w:type="dxa"/>
            <w:vAlign w:val="bottom"/>
            <w:shd w:val="clear" w:color="auto" w:fill="E4E4E4"/>
          </w:tcPr>
          <w:p>
            <w:pPr>
              <w:spacing w:after="0"/>
              <w:rPr>
                <w:sz w:val="19"/>
                <w:szCs w:val="19"/>
                <w:color w:val="auto"/>
              </w:rPr>
            </w:pPr>
          </w:p>
        </w:tc>
      </w:tr>
      <w:tr>
        <w:trPr>
          <w:trHeight w:val="230"/>
        </w:trPr>
        <w:tc>
          <w:tcPr>
            <w:tcW w:w="59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Non-current</w:t>
            </w:r>
          </w:p>
        </w:tc>
        <w:tc>
          <w:tcPr>
            <w:tcW w:w="16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89,636</w:t>
            </w:r>
          </w:p>
        </w:tc>
        <w:tc>
          <w:tcPr>
            <w:tcW w:w="260" w:type="dxa"/>
            <w:vAlign w:val="bottom"/>
            <w:tcBorders>
              <w:bottom w:val="single" w:sz="8" w:color="E4E4E4"/>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93,464</w:t>
            </w:r>
          </w:p>
        </w:tc>
        <w:tc>
          <w:tcPr>
            <w:tcW w:w="100" w:type="dxa"/>
            <w:vAlign w:val="bottom"/>
            <w:tcBorders>
              <w:bottom w:val="single" w:sz="8" w:color="E4E4E4"/>
            </w:tcBorders>
          </w:tcPr>
          <w:p>
            <w:pPr>
              <w:spacing w:after="0"/>
              <w:rPr>
                <w:sz w:val="19"/>
                <w:szCs w:val="19"/>
                <w:color w:val="auto"/>
              </w:rPr>
            </w:pPr>
          </w:p>
        </w:tc>
      </w:tr>
      <w:tr>
        <w:trPr>
          <w:trHeight w:val="220"/>
        </w:trPr>
        <w:tc>
          <w:tcPr>
            <w:tcW w:w="592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6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276,967</w:t>
            </w:r>
          </w:p>
        </w:tc>
        <w:tc>
          <w:tcPr>
            <w:tcW w:w="26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276,991</w:t>
            </w:r>
          </w:p>
        </w:tc>
        <w:tc>
          <w:tcPr>
            <w:tcW w:w="100" w:type="dxa"/>
            <w:vAlign w:val="bottom"/>
            <w:shd w:val="clear" w:color="auto" w:fill="E4E4E4"/>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20" w:top="808" w:right="8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F-27</w:t>
      </w:r>
    </w:p>
    <w:p>
      <w:pPr>
        <w:sectPr>
          <w:pgSz w:w="11880" w:h="15480" w:orient="portrait"/>
          <w:cols w:equalWidth="0" w:num="1">
            <w:col w:w="10180"/>
          </w:cols>
          <w:pgMar w:left="820" w:top="808" w:right="880" w:bottom="8" w:gutter="0" w:footer="0" w:header="0"/>
          <w:type w:val="continuous"/>
        </w:sectPr>
      </w:pPr>
    </w:p>
    <w:bookmarkStart w:id="111" w:name="page112"/>
    <w:bookmarkEnd w:id="111"/>
    <w:p>
      <w:pPr>
        <w:ind w:left="720" w:hanging="712"/>
        <w:spacing w:after="0"/>
        <w:tabs>
          <w:tab w:leader="none" w:pos="720" w:val="left"/>
        </w:tabs>
        <w:numPr>
          <w:ilvl w:val="0"/>
          <w:numId w:val="4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Leases</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Company leases real estate in the form of office space facilities. Generally, the term for real estate leases ranges from 1 to 9 years at inception of the contract. Some real estate leases include options to renew that can extend the original term by 5 to 10 years.</w:t>
      </w:r>
    </w:p>
    <w:p>
      <w:pPr>
        <w:spacing w:after="0" w:line="65" w:lineRule="exact"/>
        <w:rPr>
          <w:sz w:val="20"/>
          <w:szCs w:val="20"/>
          <w:color w:val="auto"/>
        </w:rPr>
      </w:pPr>
    </w:p>
    <w:p>
      <w:pPr>
        <w:jc w:val="both"/>
        <w:ind w:right="40" w:firstLine="490"/>
        <w:spacing w:after="0" w:line="259" w:lineRule="auto"/>
        <w:rPr>
          <w:sz w:val="20"/>
          <w:szCs w:val="20"/>
          <w:color w:val="auto"/>
        </w:rPr>
      </w:pPr>
      <w:r>
        <w:rPr>
          <w:rFonts w:ascii="Times New Roman" w:cs="Times New Roman" w:eastAsia="Times New Roman" w:hAnsi="Times New Roman"/>
          <w:sz w:val="20"/>
          <w:szCs w:val="20"/>
          <w:color w:val="1E1E1E"/>
        </w:rPr>
        <w:t>Operating lease costs are allocated according to headcount to cost of revenue, sales and marketing, product development and general and administrative expenses in the consolidated statements of operations. As of December 31, 2023, the Company does not have any finance leases.</w:t>
      </w:r>
    </w:p>
    <w:p>
      <w:pPr>
        <w:spacing w:after="0" w:line="65" w:lineRule="exact"/>
        <w:rPr>
          <w:sz w:val="20"/>
          <w:szCs w:val="20"/>
          <w:color w:val="auto"/>
        </w:rPr>
      </w:pPr>
    </w:p>
    <w:p>
      <w:pPr>
        <w:jc w:val="both"/>
        <w:ind w:right="240" w:firstLine="490"/>
        <w:spacing w:after="0" w:line="253" w:lineRule="auto"/>
        <w:rPr>
          <w:sz w:val="20"/>
          <w:szCs w:val="20"/>
          <w:color w:val="auto"/>
        </w:rPr>
      </w:pPr>
      <w:r>
        <w:rPr>
          <w:rFonts w:ascii="Times New Roman" w:cs="Times New Roman" w:eastAsia="Times New Roman" w:hAnsi="Times New Roman"/>
          <w:sz w:val="20"/>
          <w:szCs w:val="20"/>
          <w:color w:val="1E1E1E"/>
        </w:rPr>
        <w:t>During the first quarter of 2023, the Company executed a plan to exit one of its office facilities by exercising an early termination clause, which was accounted for as a lease modification under ASC 842. The Company ceased use of the office facility during the first quarter and accordingly recorded a $0.2 million impairment charge, which represented the remaining carrying value of the right-of-use asset as of March 31, 2023.</w:t>
      </w:r>
    </w:p>
    <w:p>
      <w:pPr>
        <w:spacing w:after="0" w:line="7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During the third quarter of 2023, the Company executed a new four-year lease agreement for its office in Sweden, which was accounted for under ASC 842. Accordingly, the Company recorded an initial right-of-use asset and corresponding operating lease liability of $1.6 million, which represented the present value of the expected future minimum lease payments.</w:t>
      </w:r>
    </w:p>
    <w:p>
      <w:pPr>
        <w:spacing w:after="0" w:line="65" w:lineRule="exact"/>
        <w:rPr>
          <w:sz w:val="20"/>
          <w:szCs w:val="20"/>
          <w:color w:val="auto"/>
        </w:rPr>
      </w:pPr>
    </w:p>
    <w:p>
      <w:pPr>
        <w:ind w:right="240" w:firstLine="490"/>
        <w:spacing w:after="0"/>
        <w:rPr>
          <w:sz w:val="20"/>
          <w:szCs w:val="20"/>
          <w:color w:val="auto"/>
        </w:rPr>
      </w:pPr>
      <w:r>
        <w:rPr>
          <w:rFonts w:ascii="Times New Roman" w:cs="Times New Roman" w:eastAsia="Times New Roman" w:hAnsi="Times New Roman"/>
          <w:sz w:val="20"/>
          <w:szCs w:val="20"/>
          <w:color w:val="1E1E1E"/>
        </w:rPr>
        <w:t>During the first quarter of 2022, the Company gave notice of its intent to extend one of its office lease facilities for an additional five-year period and the extension was accounted for as a lease modification under ASC 842. Accordingly, the Company recorded a right-of-use asset and corresponding operating lease liability of $6.0 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terminated on December 31, 2022. This was accounted for as a lease modification under ASC 842 and the Company reduced the right-of-use asset by $6.0 million in the second quarter of 2022. The Company ceased use of the office facility during the same quarter and accordingly recorded an impairment charge of $0.7 million, which represented the remaining carrying value of the right-of-use asset as of June 30, 2022.</w:t>
      </w: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During the second quarter of 2022, the Company executed a plan to exit one of its other office facilities by exercising an early termination clause, which was accounted for as a lease modification under ASC 842. The Company ceased use of the office facility during the second quarter and accordingly recorded a $0.2 million impairment charge, which represented the remaining carrying value of the right-of-use asset as of June 30, 2022.</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Company recorded the following lease costs for the years ended December 31, 2023 and 2022:</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5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080" w:type="dxa"/>
            <w:vAlign w:val="bottom"/>
            <w:tcBorders>
              <w:bottom w:val="single" w:sz="8" w:color="1E1E1E"/>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20" w:type="dxa"/>
            <w:vAlign w:val="bottom"/>
            <w:tcBorders>
              <w:bottom w:val="single" w:sz="8" w:color="1E1E1E"/>
            </w:tcBorders>
          </w:tcPr>
          <w:p>
            <w:pPr>
              <w:spacing w:after="0"/>
              <w:rPr>
                <w:sz w:val="17"/>
                <w:szCs w:val="17"/>
                <w:color w:val="auto"/>
              </w:rPr>
            </w:pPr>
          </w:p>
        </w:tc>
        <w:tc>
          <w:tcPr>
            <w:tcW w:w="6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5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24"/>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80" w:type="dxa"/>
            <w:vAlign w:val="bottom"/>
            <w:tcBorders>
              <w:top w:val="single" w:sz="8" w:color="E4E4E4"/>
              <w:bottom w:val="single" w:sz="8" w:color="1E1E1E"/>
            </w:tcBorders>
            <w:shd w:val="clear" w:color="auto" w:fill="E4E4E4"/>
          </w:tcPr>
          <w:p>
            <w:pPr>
              <w:spacing w:after="0" w:line="199" w:lineRule="exact"/>
              <w:rPr>
                <w:sz w:val="20"/>
                <w:szCs w:val="20"/>
                <w:color w:val="auto"/>
              </w:rPr>
            </w:pPr>
            <w:r>
              <w:rPr>
                <w:rFonts w:ascii="Times New Roman" w:cs="Times New Roman" w:eastAsia="Times New Roman" w:hAnsi="Times New Roman"/>
                <w:sz w:val="20"/>
                <w:szCs w:val="20"/>
                <w:color w:val="1E1E1E"/>
                <w:w w:val="97"/>
              </w:rPr>
              <w:t>Lease Cost</w:t>
            </w:r>
          </w:p>
        </w:tc>
        <w:tc>
          <w:tcPr>
            <w:tcW w:w="5640" w:type="dxa"/>
            <w:vAlign w:val="bottom"/>
            <w:tcBorders>
              <w:top w:val="single" w:sz="8" w:color="E4E4E4"/>
              <w:bottom w:val="single" w:sz="8" w:color="E4E4E4"/>
            </w:tcBorders>
            <w:gridSpan w:val="3"/>
            <w:shd w:val="clear" w:color="auto" w:fill="E4E4E4"/>
          </w:tcPr>
          <w:p>
            <w:pPr>
              <w:spacing w:after="0"/>
              <w:rPr>
                <w:sz w:val="17"/>
                <w:szCs w:val="17"/>
                <w:color w:val="auto"/>
              </w:rPr>
            </w:pPr>
          </w:p>
        </w:tc>
        <w:tc>
          <w:tcPr>
            <w:tcW w:w="20" w:type="dxa"/>
            <w:vAlign w:val="bottom"/>
            <w:tcBorders>
              <w:top w:val="single" w:sz="8" w:color="E4E4E4"/>
              <w:bottom w:val="single" w:sz="8" w:color="E4E4E4"/>
            </w:tcBorders>
            <w:shd w:val="clear" w:color="auto" w:fill="E4E4E4"/>
          </w:tcPr>
          <w:p>
            <w:pPr>
              <w:spacing w:after="0"/>
              <w:rPr>
                <w:sz w:val="17"/>
                <w:szCs w:val="17"/>
                <w:color w:val="auto"/>
              </w:rPr>
            </w:pPr>
          </w:p>
        </w:tc>
        <w:tc>
          <w:tcPr>
            <w:tcW w:w="140" w:type="dxa"/>
            <w:vAlign w:val="bottom"/>
            <w:tcBorders>
              <w:top w:val="single" w:sz="8" w:color="E4E4E4"/>
              <w:bottom w:val="single" w:sz="8" w:color="E4E4E4"/>
            </w:tcBorders>
            <w:shd w:val="clear" w:color="auto" w:fill="E4E4E4"/>
          </w:tcPr>
          <w:p>
            <w:pPr>
              <w:spacing w:after="0"/>
              <w:rPr>
                <w:sz w:val="17"/>
                <w:szCs w:val="17"/>
                <w:color w:val="auto"/>
              </w:rPr>
            </w:pPr>
          </w:p>
        </w:tc>
        <w:tc>
          <w:tcPr>
            <w:tcW w:w="260" w:type="dxa"/>
            <w:vAlign w:val="bottom"/>
            <w:tcBorders>
              <w:top w:val="single" w:sz="8" w:color="1E1E1E"/>
              <w:bottom w:val="single" w:sz="8" w:color="E4E4E4"/>
            </w:tcBorders>
            <w:shd w:val="clear" w:color="auto" w:fill="E4E4E4"/>
          </w:tcPr>
          <w:p>
            <w:pPr>
              <w:spacing w:after="0"/>
              <w:rPr>
                <w:sz w:val="17"/>
                <w:szCs w:val="17"/>
                <w:color w:val="auto"/>
              </w:rPr>
            </w:pPr>
          </w:p>
        </w:tc>
        <w:tc>
          <w:tcPr>
            <w:tcW w:w="920" w:type="dxa"/>
            <w:vAlign w:val="bottom"/>
            <w:tcBorders>
              <w:top w:val="single" w:sz="8" w:color="1E1E1E"/>
              <w:bottom w:val="single" w:sz="8" w:color="E4E4E4"/>
            </w:tcBorders>
            <w:shd w:val="clear" w:color="auto" w:fill="E4E4E4"/>
          </w:tcPr>
          <w:p>
            <w:pPr>
              <w:spacing w:after="0"/>
              <w:rPr>
                <w:sz w:val="17"/>
                <w:szCs w:val="17"/>
                <w:color w:val="auto"/>
              </w:rPr>
            </w:pPr>
          </w:p>
        </w:tc>
        <w:tc>
          <w:tcPr>
            <w:tcW w:w="40" w:type="dxa"/>
            <w:vAlign w:val="bottom"/>
            <w:tcBorders>
              <w:top w:val="single" w:sz="8" w:color="1E1E1E"/>
              <w:bottom w:val="single" w:sz="8" w:color="E4E4E4"/>
            </w:tcBorders>
            <w:shd w:val="clear" w:color="auto" w:fill="E4E4E4"/>
          </w:tcPr>
          <w:p>
            <w:pPr>
              <w:spacing w:after="0"/>
              <w:rPr>
                <w:sz w:val="17"/>
                <w:szCs w:val="17"/>
                <w:color w:val="auto"/>
              </w:rPr>
            </w:pPr>
          </w:p>
        </w:tc>
        <w:tc>
          <w:tcPr>
            <w:tcW w:w="240" w:type="dxa"/>
            <w:vAlign w:val="bottom"/>
            <w:tcBorders>
              <w:top w:val="single" w:sz="8" w:color="E4E4E4"/>
              <w:bottom w:val="single" w:sz="8" w:color="E4E4E4"/>
            </w:tcBorders>
            <w:shd w:val="clear" w:color="auto" w:fill="E4E4E4"/>
          </w:tcPr>
          <w:p>
            <w:pPr>
              <w:spacing w:after="0"/>
              <w:rPr>
                <w:sz w:val="17"/>
                <w:szCs w:val="17"/>
                <w:color w:val="auto"/>
              </w:rPr>
            </w:pPr>
          </w:p>
        </w:tc>
        <w:tc>
          <w:tcPr>
            <w:tcW w:w="20" w:type="dxa"/>
            <w:vAlign w:val="bottom"/>
            <w:tcBorders>
              <w:top w:val="single" w:sz="8" w:color="E4E4E4"/>
              <w:bottom w:val="single" w:sz="8" w:color="E4E4E4"/>
            </w:tcBorders>
            <w:shd w:val="clear" w:color="auto" w:fill="E4E4E4"/>
          </w:tcPr>
          <w:p>
            <w:pPr>
              <w:spacing w:after="0"/>
              <w:rPr>
                <w:sz w:val="17"/>
                <w:szCs w:val="17"/>
                <w:color w:val="auto"/>
              </w:rPr>
            </w:pPr>
          </w:p>
        </w:tc>
        <w:tc>
          <w:tcPr>
            <w:tcW w:w="860" w:type="dxa"/>
            <w:vAlign w:val="bottom"/>
            <w:tcBorders>
              <w:top w:val="single" w:sz="8" w:color="1E1E1E"/>
              <w:bottom w:val="single" w:sz="8" w:color="E4E4E4"/>
            </w:tcBorders>
            <w:shd w:val="clear" w:color="auto" w:fill="E4E4E4"/>
          </w:tcPr>
          <w:p>
            <w:pPr>
              <w:spacing w:after="0"/>
              <w:rPr>
                <w:sz w:val="17"/>
                <w:szCs w:val="17"/>
                <w:color w:val="auto"/>
              </w:rPr>
            </w:pPr>
          </w:p>
        </w:tc>
        <w:tc>
          <w:tcPr>
            <w:tcW w:w="420" w:type="dxa"/>
            <w:vAlign w:val="bottom"/>
            <w:tcBorders>
              <w:top w:val="single" w:sz="8" w:color="1E1E1E"/>
              <w:bottom w:val="single" w:sz="8" w:color="E4E4E4"/>
            </w:tcBorders>
            <w:shd w:val="clear" w:color="auto" w:fill="E4E4E4"/>
          </w:tcPr>
          <w:p>
            <w:pPr>
              <w:spacing w:after="0"/>
              <w:rPr>
                <w:sz w:val="17"/>
                <w:szCs w:val="17"/>
                <w:color w:val="auto"/>
              </w:rPr>
            </w:pPr>
          </w:p>
        </w:tc>
        <w:tc>
          <w:tcPr>
            <w:tcW w:w="60" w:type="dxa"/>
            <w:vAlign w:val="bottom"/>
            <w:tcBorders>
              <w:top w:val="single" w:sz="8" w:color="1E1E1E"/>
              <w:bottom w:val="single" w:sz="8" w:color="E4E4E4"/>
            </w:tcBorders>
            <w:shd w:val="clear" w:color="auto" w:fill="E4E4E4"/>
          </w:tcPr>
          <w:p>
            <w:pPr>
              <w:spacing w:after="0"/>
              <w:rPr>
                <w:sz w:val="17"/>
                <w:szCs w:val="17"/>
                <w:color w:val="auto"/>
              </w:rPr>
            </w:pPr>
          </w:p>
        </w:tc>
        <w:tc>
          <w:tcPr>
            <w:tcW w:w="100" w:type="dxa"/>
            <w:vAlign w:val="bottom"/>
            <w:tcBorders>
              <w:top w:val="single" w:sz="8" w:color="E4E4E4"/>
              <w:bottom w:val="single" w:sz="8" w:color="E4E4E4"/>
            </w:tcBorders>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Capitalized operating lease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2,202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20"/>
                <w:szCs w:val="20"/>
                <w:color w:val="1E1E1E"/>
              </w:rPr>
              <w:t>Variable lease cost</w:t>
            </w: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20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4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1E1E1E"/>
              </w:rPr>
              <w:t>Total lease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1E1E1E"/>
              <w:bottom w:val="single" w:sz="8" w:color="1E1E1E"/>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1E1E1E"/>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480" w:type="dxa"/>
            <w:vAlign w:val="bottom"/>
            <w:tcBorders>
              <w:top w:val="single" w:sz="8" w:color="1E1E1E"/>
              <w:bottom w:val="single" w:sz="8" w:color="1E1E1E"/>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4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1E1E1E"/>
            </w:tcBorders>
            <w:gridSpan w:val="2"/>
            <w:shd w:val="clear" w:color="auto" w:fill="E4E4E4"/>
          </w:tcPr>
          <w:p>
            <w:pPr>
              <w:spacing w:after="0" w:line="208" w:lineRule="exact"/>
              <w:rPr>
                <w:sz w:val="20"/>
                <w:szCs w:val="20"/>
                <w:color w:val="auto"/>
              </w:rPr>
            </w:pPr>
            <w:r>
              <w:rPr>
                <w:rFonts w:ascii="Times New Roman" w:cs="Times New Roman" w:eastAsia="Times New Roman" w:hAnsi="Times New Roman"/>
                <w:sz w:val="20"/>
                <w:szCs w:val="20"/>
                <w:color w:val="1E1E1E"/>
                <w:w w:val="99"/>
              </w:rPr>
              <w:t>Supplemental Cash Flow and Other Information</w:t>
            </w:r>
          </w:p>
        </w:tc>
        <w:tc>
          <w:tcPr>
            <w:tcW w:w="2660" w:type="dxa"/>
            <w:vAlign w:val="bottom"/>
            <w:tcBorders>
              <w:bottom w:val="single" w:sz="8" w:color="E4E4E4"/>
            </w:tcBorders>
            <w:gridSpan w:val="2"/>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40" w:type="dxa"/>
            <w:vAlign w:val="bottom"/>
            <w:tcBorders>
              <w:bottom w:val="single" w:sz="8" w:color="E4E4E4"/>
            </w:tcBorders>
            <w:shd w:val="clear" w:color="auto" w:fill="E4E4E4"/>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920" w:type="dxa"/>
            <w:vAlign w:val="bottom"/>
            <w:tcBorders>
              <w:bottom w:val="single" w:sz="8" w:color="E4E4E4"/>
            </w:tcBorders>
            <w:shd w:val="clear" w:color="auto" w:fill="E4E4E4"/>
          </w:tcPr>
          <w:p>
            <w:pPr>
              <w:spacing w:after="0"/>
              <w:rPr>
                <w:sz w:val="18"/>
                <w:szCs w:val="18"/>
                <w:color w:val="auto"/>
              </w:rPr>
            </w:pPr>
          </w:p>
        </w:tc>
        <w:tc>
          <w:tcPr>
            <w:tcW w:w="40" w:type="dxa"/>
            <w:vAlign w:val="bottom"/>
            <w:tcBorders>
              <w:bottom w:val="single" w:sz="8" w:color="E4E4E4"/>
            </w:tcBorders>
            <w:shd w:val="clear" w:color="auto" w:fill="E4E4E4"/>
          </w:tcPr>
          <w:p>
            <w:pPr>
              <w:spacing w:after="0"/>
              <w:rPr>
                <w:sz w:val="18"/>
                <w:szCs w:val="18"/>
                <w:color w:val="auto"/>
              </w:rPr>
            </w:pPr>
          </w:p>
        </w:tc>
        <w:tc>
          <w:tcPr>
            <w:tcW w:w="24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860" w:type="dxa"/>
            <w:vAlign w:val="bottom"/>
            <w:tcBorders>
              <w:bottom w:val="single" w:sz="8" w:color="E4E4E4"/>
            </w:tcBorders>
            <w:shd w:val="clear" w:color="auto" w:fill="E4E4E4"/>
          </w:tcPr>
          <w:p>
            <w:pPr>
              <w:spacing w:after="0"/>
              <w:rPr>
                <w:sz w:val="18"/>
                <w:szCs w:val="18"/>
                <w:color w:val="auto"/>
              </w:rPr>
            </w:pPr>
          </w:p>
        </w:tc>
        <w:tc>
          <w:tcPr>
            <w:tcW w:w="420" w:type="dxa"/>
            <w:vAlign w:val="bottom"/>
            <w:tcBorders>
              <w:bottom w:val="single" w:sz="8" w:color="E4E4E4"/>
            </w:tcBorders>
            <w:shd w:val="clear" w:color="auto" w:fill="E4E4E4"/>
          </w:tcPr>
          <w:p>
            <w:pPr>
              <w:spacing w:after="0"/>
              <w:rPr>
                <w:sz w:val="18"/>
                <w:szCs w:val="18"/>
                <w:color w:val="auto"/>
              </w:rPr>
            </w:pPr>
          </w:p>
        </w:tc>
        <w:tc>
          <w:tcPr>
            <w:tcW w:w="6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gridSpan w:val="4"/>
          </w:tcPr>
          <w:p>
            <w:pPr>
              <w:spacing w:after="0" w:line="208" w:lineRule="exact"/>
              <w:rPr>
                <w:sz w:val="20"/>
                <w:szCs w:val="20"/>
                <w:color w:val="auto"/>
              </w:rPr>
            </w:pPr>
            <w:r>
              <w:rPr>
                <w:rFonts w:ascii="Times New Roman" w:cs="Times New Roman" w:eastAsia="Times New Roman" w:hAnsi="Times New Roman"/>
                <w:sz w:val="20"/>
                <w:szCs w:val="20"/>
                <w:color w:val="1E1E1E"/>
              </w:rPr>
              <w:t>Cash paid for amounts included in measurement of lease liabilities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52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capitalized operating leases: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20" w:type="dxa"/>
            <w:vAlign w:val="bottom"/>
            <w:gridSpan w:val="4"/>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Operating cash flows</w:t>
            </w:r>
          </w:p>
        </w:tc>
        <w:tc>
          <w:tcPr>
            <w:tcW w:w="420" w:type="dxa"/>
            <w:vAlign w:val="bottom"/>
            <w:gridSpan w:val="3"/>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2,052</w:t>
            </w:r>
          </w:p>
        </w:tc>
        <w:tc>
          <w:tcPr>
            <w:tcW w:w="880" w:type="dxa"/>
            <w:vAlign w:val="bottom"/>
            <w:gridSpan w:val="2"/>
            <w:shd w:val="clear" w:color="auto" w:fill="E4E4E4"/>
          </w:tcPr>
          <w:p>
            <w:pPr>
              <w:ind w:left="20"/>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3,145</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4"/>
            <w:shd w:val="clear" w:color="auto" w:fill="E4E4E4"/>
          </w:tcPr>
          <w:p>
            <w:pPr>
              <w:spacing w:after="0"/>
              <w:rPr>
                <w:sz w:val="20"/>
                <w:szCs w:val="20"/>
                <w:color w:val="auto"/>
              </w:rPr>
            </w:pPr>
            <w:r>
              <w:rPr>
                <w:rFonts w:ascii="Times New Roman" w:cs="Times New Roman" w:eastAsia="Times New Roman" w:hAnsi="Times New Roman"/>
                <w:sz w:val="20"/>
                <w:szCs w:val="20"/>
                <w:color w:val="1E1E1E"/>
              </w:rPr>
              <w:t>Right-of-use assets obtained in exchange for lease liabilities:</w:t>
            </w: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52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1E1E1E"/>
              </w:rPr>
              <w:t>Capitalized operating leases</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1E1E1E"/>
              </w:rPr>
              <w:t>1,563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982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65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1E1E1E"/>
              </w:rPr>
              <w:t>Lease term and discount rate consisted of the following 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1E1E1E"/>
                <w:w w:val="98"/>
              </w:rPr>
              <w:t>December 31, 2023</w:t>
            </w:r>
          </w:p>
        </w:tc>
        <w:tc>
          <w:tcPr>
            <w:tcW w:w="14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1E1E1E"/>
              </w:rPr>
              <w:t>December 31, 2022</w:t>
            </w:r>
          </w:p>
        </w:tc>
        <w:tc>
          <w:tcPr>
            <w:tcW w:w="0" w:type="dxa"/>
            <w:vAlign w:val="bottom"/>
          </w:tcPr>
          <w:p>
            <w:pPr>
              <w:spacing w:after="0"/>
              <w:rPr>
                <w:sz w:val="1"/>
                <w:szCs w:val="1"/>
                <w:color w:val="auto"/>
              </w:rPr>
            </w:pPr>
          </w:p>
        </w:tc>
      </w:tr>
      <w:tr>
        <w:trPr>
          <w:trHeight w:val="220"/>
        </w:trPr>
        <w:tc>
          <w:tcPr>
            <w:tcW w:w="6440" w:type="dxa"/>
            <w:vAlign w:val="bottom"/>
            <w:tcBorders>
              <w:top w:val="single" w:sz="8" w:color="E4E4E4"/>
            </w:tcBorders>
            <w:gridSpan w:val="3"/>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Weighted-average remaining lease term (in years):</w:t>
            </w:r>
          </w:p>
        </w:tc>
        <w:tc>
          <w:tcPr>
            <w:tcW w:w="8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1E1E1E"/>
            </w:tcBorders>
            <w:shd w:val="clear" w:color="auto" w:fill="E4E4E4"/>
          </w:tcPr>
          <w:p>
            <w:pPr>
              <w:spacing w:after="0"/>
              <w:rPr>
                <w:sz w:val="19"/>
                <w:szCs w:val="19"/>
                <w:color w:val="auto"/>
              </w:rPr>
            </w:pPr>
          </w:p>
        </w:tc>
        <w:tc>
          <w:tcPr>
            <w:tcW w:w="920" w:type="dxa"/>
            <w:vAlign w:val="bottom"/>
            <w:tcBorders>
              <w:top w:val="single" w:sz="8" w:color="1E1E1E"/>
            </w:tcBorders>
            <w:shd w:val="clear" w:color="auto" w:fill="E4E4E4"/>
          </w:tcPr>
          <w:p>
            <w:pPr>
              <w:spacing w:after="0"/>
              <w:rPr>
                <w:sz w:val="19"/>
                <w:szCs w:val="19"/>
                <w:color w:val="auto"/>
              </w:rPr>
            </w:pPr>
          </w:p>
        </w:tc>
        <w:tc>
          <w:tcPr>
            <w:tcW w:w="40" w:type="dxa"/>
            <w:vAlign w:val="bottom"/>
            <w:tcBorders>
              <w:top w:val="single" w:sz="8" w:color="E4E4E4"/>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1E1E1E"/>
            </w:tcBorders>
            <w:shd w:val="clear" w:color="auto" w:fill="E4E4E4"/>
          </w:tcPr>
          <w:p>
            <w:pPr>
              <w:spacing w:after="0"/>
              <w:rPr>
                <w:sz w:val="19"/>
                <w:szCs w:val="19"/>
                <w:color w:val="auto"/>
              </w:rPr>
            </w:pPr>
          </w:p>
        </w:tc>
        <w:tc>
          <w:tcPr>
            <w:tcW w:w="860" w:type="dxa"/>
            <w:vAlign w:val="bottom"/>
            <w:tcBorders>
              <w:top w:val="single" w:sz="8" w:color="1E1E1E"/>
            </w:tcBorders>
            <w:shd w:val="clear" w:color="auto" w:fill="E4E4E4"/>
          </w:tcPr>
          <w:p>
            <w:pPr>
              <w:spacing w:after="0"/>
              <w:rPr>
                <w:sz w:val="19"/>
                <w:szCs w:val="19"/>
                <w:color w:val="auto"/>
              </w:rPr>
            </w:pPr>
          </w:p>
        </w:tc>
        <w:tc>
          <w:tcPr>
            <w:tcW w:w="420" w:type="dxa"/>
            <w:vAlign w:val="bottom"/>
            <w:tcBorders>
              <w:top w:val="single" w:sz="8" w:color="1E1E1E"/>
            </w:tcBorders>
            <w:shd w:val="clear" w:color="auto" w:fill="E4E4E4"/>
          </w:tcPr>
          <w:p>
            <w:pPr>
              <w:spacing w:after="0"/>
              <w:rPr>
                <w:sz w:val="19"/>
                <w:szCs w:val="19"/>
                <w:color w:val="auto"/>
              </w:rPr>
            </w:pPr>
          </w:p>
        </w:tc>
        <w:tc>
          <w:tcPr>
            <w:tcW w:w="6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1E1E1E"/>
              </w:rPr>
              <w:t>Capitalized operating leases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4.80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4"/>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Weighted-average discount rate: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gridSpan w:val="4"/>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Capitalized operating leases</w:t>
            </w:r>
          </w:p>
        </w:tc>
        <w:tc>
          <w:tcPr>
            <w:tcW w:w="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200" w:type="dxa"/>
            <w:vAlign w:val="bottom"/>
            <w:gridSpan w:val="3"/>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4.6%</w:t>
            </w:r>
          </w:p>
        </w:tc>
        <w:tc>
          <w:tcPr>
            <w:tcW w:w="2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58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20" w:top="803" w:right="8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F-28</w:t>
      </w:r>
    </w:p>
    <w:p>
      <w:pPr>
        <w:sectPr>
          <w:pgSz w:w="11880" w:h="15480" w:orient="portrait"/>
          <w:cols w:equalWidth="0" w:num="1">
            <w:col w:w="10180"/>
          </w:cols>
          <w:pgMar w:left="820" w:top="803" w:right="880" w:bottom="8" w:gutter="0" w:footer="0" w:header="0"/>
          <w:type w:val="continuous"/>
        </w:sectPr>
      </w:pPr>
    </w:p>
    <w:bookmarkStart w:id="112" w:name="page113"/>
    <w:bookmarkEnd w:id="112"/>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table below reconciles the undiscounted future minimum lease payments (displayed by year and in the aggregate) under noncancelable operating leases with terms of more than one year to the total operating lease liabilities recognized on the consolidated balance sheets as of December 31, 2023.</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rPr>
              <w:t>Capitalized Operating</w:t>
            </w:r>
          </w:p>
        </w:tc>
      </w:tr>
      <w:tr>
        <w:trPr>
          <w:trHeight w:val="204"/>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7"/>
              </w:rPr>
              <w:t>Lease</w:t>
            </w:r>
          </w:p>
        </w:tc>
      </w:tr>
      <w:tr>
        <w:trPr>
          <w:trHeight w:val="220"/>
        </w:trPr>
        <w:tc>
          <w:tcPr>
            <w:tcW w:w="75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2024</w:t>
            </w:r>
          </w:p>
        </w:tc>
        <w:tc>
          <w:tcPr>
            <w:tcW w:w="18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6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2,699</w:t>
            </w:r>
          </w:p>
        </w:tc>
        <w:tc>
          <w:tcPr>
            <w:tcW w:w="20" w:type="dxa"/>
            <w:vAlign w:val="bottom"/>
            <w:tcBorders>
              <w:top w:val="single" w:sz="8" w:color="E4E4E4"/>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1E1E1E"/>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5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2026</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2,684</w:t>
            </w:r>
          </w:p>
        </w:tc>
        <w:tc>
          <w:tcPr>
            <w:tcW w:w="80" w:type="dxa"/>
            <w:vAlign w:val="bottom"/>
            <w:shd w:val="clear" w:color="auto" w:fill="E4E4E4"/>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1E1E1E"/>
              </w:rPr>
              <w:t>2027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2,456</w:t>
            </w:r>
          </w:p>
        </w:tc>
        <w:tc>
          <w:tcPr>
            <w:tcW w:w="80" w:type="dxa"/>
            <w:vAlign w:val="bottom"/>
          </w:tcPr>
          <w:p>
            <w:pPr>
              <w:spacing w:after="0"/>
              <w:rPr>
                <w:sz w:val="19"/>
                <w:szCs w:val="19"/>
                <w:color w:val="auto"/>
              </w:rPr>
            </w:pPr>
          </w:p>
        </w:tc>
      </w:tr>
      <w:tr>
        <w:trPr>
          <w:trHeight w:val="230"/>
        </w:trPr>
        <w:tc>
          <w:tcPr>
            <w:tcW w:w="75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2028</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2,177</w:t>
            </w:r>
          </w:p>
        </w:tc>
        <w:tc>
          <w:tcPr>
            <w:tcW w:w="80" w:type="dxa"/>
            <w:vAlign w:val="bottom"/>
            <w:shd w:val="clear" w:color="auto" w:fill="E4E4E4"/>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181</w:t>
            </w:r>
          </w:p>
        </w:tc>
        <w:tc>
          <w:tcPr>
            <w:tcW w:w="80" w:type="dxa"/>
            <w:vAlign w:val="bottom"/>
          </w:tcPr>
          <w:p>
            <w:pPr>
              <w:spacing w:after="0"/>
              <w:rPr>
                <w:sz w:val="19"/>
                <w:szCs w:val="19"/>
                <w:color w:val="auto"/>
              </w:rPr>
            </w:pPr>
          </w:p>
        </w:tc>
      </w:tr>
      <w:tr>
        <w:trPr>
          <w:trHeight w:val="220"/>
        </w:trPr>
        <w:tc>
          <w:tcPr>
            <w:tcW w:w="7580" w:type="dxa"/>
            <w:vAlign w:val="bottom"/>
            <w:tcBorders>
              <w:top w:val="single" w:sz="8" w:color="E4E4E4"/>
            </w:tcBorders>
            <w:shd w:val="clear" w:color="auto" w:fill="E4E4E4"/>
          </w:tcPr>
          <w:p>
            <w:pPr>
              <w:spacing w:after="0"/>
              <w:rPr>
                <w:sz w:val="19"/>
                <w:szCs w:val="19"/>
                <w:color w:val="auto"/>
              </w:rPr>
            </w:pPr>
          </w:p>
        </w:tc>
        <w:tc>
          <w:tcPr>
            <w:tcW w:w="18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6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12,878</w:t>
            </w:r>
          </w:p>
        </w:tc>
        <w:tc>
          <w:tcPr>
            <w:tcW w:w="20" w:type="dxa"/>
            <w:vAlign w:val="bottom"/>
            <w:tcBorders>
              <w:top w:val="single" w:sz="8" w:color="E4E4E4"/>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64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5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Imputed interest</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1,267</w:t>
            </w:r>
          </w:p>
        </w:tc>
        <w:tc>
          <w:tcPr>
            <w:tcW w:w="80" w:type="dxa"/>
            <w:vAlign w:val="bottom"/>
            <w:shd w:val="clear" w:color="auto" w:fill="E4E4E4"/>
          </w:tcPr>
          <w:p>
            <w:pPr>
              <w:spacing w:after="0"/>
              <w:rPr>
                <w:sz w:val="19"/>
                <w:szCs w:val="19"/>
                <w:color w:val="auto"/>
              </w:rPr>
            </w:pPr>
          </w:p>
        </w:tc>
      </w:tr>
      <w:tr>
        <w:trPr>
          <w:trHeight w:val="220"/>
        </w:trPr>
        <w:tc>
          <w:tcPr>
            <w:tcW w:w="75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Operating lease liability balance at December 31, 2023</w:t>
            </w:r>
          </w:p>
        </w:tc>
        <w:tc>
          <w:tcPr>
            <w:tcW w:w="180" w:type="dxa"/>
            <w:vAlign w:val="bottom"/>
          </w:tcPr>
          <w:p>
            <w:pPr>
              <w:spacing w:after="0"/>
              <w:rPr>
                <w:sz w:val="19"/>
                <w:szCs w:val="19"/>
                <w:color w:val="auto"/>
              </w:rPr>
            </w:pPr>
          </w:p>
        </w:tc>
        <w:tc>
          <w:tcPr>
            <w:tcW w:w="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6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11,611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64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1E1E1E"/>
        </w:rPr>
        <w:t>Total rent expense, which was allocated according to headcount to cost of revenue, sales and marketing, product development and general and administrative expenses in the consolidated statements of operations, was $2.0 million, $2.4 million, and $2.8 million for the years ended December 31, 2023, 2022, and 2021, respectively.</w:t>
      </w:r>
    </w:p>
    <w:p>
      <w:pPr>
        <w:sectPr>
          <w:pgSz w:w="11880" w:h="15480" w:orient="portrait"/>
          <w:cols w:equalWidth="0" w:num="1">
            <w:col w:w="10120"/>
          </w:cols>
          <w:pgMar w:left="820" w:top="806" w:right="9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1E1E1E"/>
        </w:rPr>
        <w:t>F-29</w:t>
      </w:r>
    </w:p>
    <w:p>
      <w:pPr>
        <w:sectPr>
          <w:pgSz w:w="11880" w:h="15480" w:orient="portrait"/>
          <w:cols w:equalWidth="0" w:num="1">
            <w:col w:w="10120"/>
          </w:cols>
          <w:pgMar w:left="820" w:top="806" w:right="940" w:bottom="8" w:gutter="0" w:footer="0" w:header="0"/>
          <w:type w:val="continuous"/>
        </w:sectPr>
      </w:pPr>
    </w:p>
    <w:bookmarkStart w:id="113" w:name="page114"/>
    <w:bookmarkEnd w:id="113"/>
    <w:p>
      <w:pPr>
        <w:ind w:left="720" w:hanging="712"/>
        <w:spacing w:after="0"/>
        <w:tabs>
          <w:tab w:leader="none" w:pos="720" w:val="left"/>
        </w:tabs>
        <w:numPr>
          <w:ilvl w:val="0"/>
          <w:numId w:val="43"/>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Short-term Investments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Short-term investments classified as available-for-sale consisted of the following as of:</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240" w:type="dxa"/>
            <w:vAlign w:val="bottom"/>
            <w:tcBorders>
              <w:bottom w:val="single" w:sz="8" w:color="1E1E1E"/>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2280" w:type="dxa"/>
            <w:vAlign w:val="bottom"/>
            <w:tcBorders>
              <w:bottom w:val="single" w:sz="8" w:color="1E1E1E"/>
            </w:tcBorders>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420" w:type="dxa"/>
            <w:vAlign w:val="bottom"/>
            <w:tcBorders>
              <w:bottom w:val="single" w:sz="8" w:color="1E1E1E"/>
            </w:tcBorders>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Gross Unrealized</w:t>
            </w:r>
          </w:p>
        </w:tc>
        <w:tc>
          <w:tcPr>
            <w:tcW w:w="240" w:type="dxa"/>
            <w:vAlign w:val="bottom"/>
          </w:tcPr>
          <w:p>
            <w:pPr>
              <w:spacing w:after="0"/>
              <w:rPr>
                <w:sz w:val="13"/>
                <w:szCs w:val="13"/>
                <w:color w:val="auto"/>
              </w:rPr>
            </w:pPr>
          </w:p>
        </w:tc>
        <w:tc>
          <w:tcPr>
            <w:tcW w:w="164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Gross Unrealized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4"/>
        </w:trPr>
        <w:tc>
          <w:tcPr>
            <w:tcW w:w="2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240" w:type="dxa"/>
            <w:vAlign w:val="bottom"/>
            <w:tcBorders>
              <w:bottom w:val="single" w:sz="8" w:color="1E1E1E"/>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1E1E1E"/>
                <w:w w:val="99"/>
              </w:rPr>
              <w:t>Amortized Cost</w:t>
            </w:r>
          </w:p>
        </w:tc>
        <w:tc>
          <w:tcPr>
            <w:tcW w:w="260" w:type="dxa"/>
            <w:vAlign w:val="bottom"/>
            <w:tcBorders>
              <w:bottom w:val="single" w:sz="8" w:color="E4E4E4"/>
            </w:tcBorders>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center"/>
              <w:ind w:right="226"/>
              <w:spacing w:after="0"/>
              <w:rPr>
                <w:sz w:val="20"/>
                <w:szCs w:val="20"/>
                <w:color w:val="auto"/>
              </w:rPr>
            </w:pPr>
            <w:r>
              <w:rPr>
                <w:rFonts w:ascii="Times New Roman" w:cs="Times New Roman" w:eastAsia="Times New Roman" w:hAnsi="Times New Roman"/>
                <w:sz w:val="16"/>
                <w:szCs w:val="16"/>
                <w:b w:val="1"/>
                <w:bCs w:val="1"/>
                <w:color w:val="1E1E1E"/>
                <w:w w:val="99"/>
              </w:rPr>
              <w:t>Gains</w:t>
            </w:r>
          </w:p>
        </w:tc>
        <w:tc>
          <w:tcPr>
            <w:tcW w:w="240" w:type="dxa"/>
            <w:vAlign w:val="bottom"/>
            <w:tcBorders>
              <w:bottom w:val="single" w:sz="8" w:color="E4E4E4"/>
            </w:tcBorders>
          </w:tcPr>
          <w:p>
            <w:pPr>
              <w:spacing w:after="0"/>
              <w:rPr>
                <w:sz w:val="17"/>
                <w:szCs w:val="17"/>
                <w:color w:val="auto"/>
              </w:rPr>
            </w:pPr>
          </w:p>
        </w:tc>
        <w:tc>
          <w:tcPr>
            <w:tcW w:w="960" w:type="dxa"/>
            <w:vAlign w:val="bottom"/>
            <w:tcBorders>
              <w:bottom w:val="single" w:sz="8" w:color="1E1E1E"/>
            </w:tcBorders>
          </w:tcPr>
          <w:p>
            <w:pPr>
              <w:jc w:val="center"/>
              <w:ind w:left="350"/>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420" w:type="dxa"/>
            <w:vAlign w:val="bottom"/>
            <w:tcBorders>
              <w:bottom w:val="single" w:sz="8" w:color="1E1E1E"/>
            </w:tcBorders>
          </w:tcPr>
          <w:p>
            <w:pPr>
              <w:spacing w:after="0"/>
              <w:rPr>
                <w:sz w:val="17"/>
                <w:szCs w:val="17"/>
                <w:color w:val="auto"/>
              </w:rPr>
            </w:pPr>
          </w:p>
        </w:tc>
        <w:tc>
          <w:tcPr>
            <w:tcW w:w="260" w:type="dxa"/>
            <w:vAlign w:val="bottom"/>
            <w:tcBorders>
              <w:bottom w:val="single" w:sz="8" w:color="E4E4E4"/>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1E1E1E"/>
              </w:rPr>
              <w:t>Fair Value</w:t>
            </w:r>
          </w:p>
        </w:tc>
        <w:tc>
          <w:tcPr>
            <w:tcW w:w="100" w:type="dxa"/>
            <w:vAlign w:val="bottom"/>
            <w:tcBorders>
              <w:bottom w:val="single" w:sz="8" w:color="E4E4E4"/>
            </w:tcBorders>
          </w:tcPr>
          <w:p>
            <w:pPr>
              <w:spacing w:after="0"/>
              <w:rPr>
                <w:sz w:val="17"/>
                <w:szCs w:val="17"/>
                <w:color w:val="auto"/>
              </w:rPr>
            </w:pPr>
          </w:p>
        </w:tc>
      </w:tr>
      <w:tr>
        <w:trPr>
          <w:trHeight w:val="220"/>
        </w:trPr>
        <w:tc>
          <w:tcPr>
            <w:tcW w:w="29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Short-term investments:</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US Treasuries</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62,486</w:t>
            </w:r>
          </w:p>
        </w:tc>
        <w:tc>
          <w:tcPr>
            <w:tcW w:w="260" w:type="dxa"/>
            <w:vAlign w:val="bottom"/>
          </w:tcPr>
          <w:p>
            <w:pPr>
              <w:spacing w:after="0"/>
              <w:rPr>
                <w:sz w:val="19"/>
                <w:szCs w:val="19"/>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24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20"/>
                <w:szCs w:val="20"/>
                <w:color w:val="1E1E1E"/>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62,461</w:t>
            </w:r>
          </w:p>
        </w:tc>
        <w:tc>
          <w:tcPr>
            <w:tcW w:w="100" w:type="dxa"/>
            <w:vAlign w:val="bottom"/>
          </w:tcPr>
          <w:p>
            <w:pPr>
              <w:spacing w:after="0"/>
              <w:rPr>
                <w:sz w:val="19"/>
                <w:szCs w:val="19"/>
                <w:color w:val="auto"/>
              </w:rPr>
            </w:pPr>
          </w:p>
        </w:tc>
      </w:tr>
      <w:tr>
        <w:trPr>
          <w:trHeight w:val="230"/>
        </w:trPr>
        <w:tc>
          <w:tcPr>
            <w:tcW w:w="29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Corporate Bonds</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2,314</w:t>
            </w:r>
          </w:p>
        </w:tc>
        <w:tc>
          <w:tcPr>
            <w:tcW w:w="2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2,324</w:t>
            </w:r>
          </w:p>
        </w:tc>
        <w:tc>
          <w:tcPr>
            <w:tcW w:w="100" w:type="dxa"/>
            <w:vAlign w:val="bottom"/>
            <w:shd w:val="clear" w:color="auto" w:fill="E4E4E4"/>
          </w:tcPr>
          <w:p>
            <w:pPr>
              <w:spacing w:after="0"/>
              <w:rPr>
                <w:sz w:val="19"/>
                <w:szCs w:val="19"/>
                <w:color w:val="auto"/>
              </w:rPr>
            </w:pPr>
          </w:p>
        </w:tc>
      </w:tr>
      <w:tr>
        <w:trPr>
          <w:trHeight w:val="230"/>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Commercial Paper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94,269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(18)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94,336</w:t>
            </w:r>
          </w:p>
        </w:tc>
        <w:tc>
          <w:tcPr>
            <w:tcW w:w="100" w:type="dxa"/>
            <w:vAlign w:val="bottom"/>
          </w:tcPr>
          <w:p>
            <w:pPr>
              <w:spacing w:after="0"/>
              <w:rPr>
                <w:sz w:val="19"/>
                <w:szCs w:val="19"/>
                <w:color w:val="auto"/>
              </w:rPr>
            </w:pPr>
          </w:p>
        </w:tc>
      </w:tr>
      <w:tr>
        <w:trPr>
          <w:trHeight w:val="230"/>
        </w:trPr>
        <w:tc>
          <w:tcPr>
            <w:tcW w:w="29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Certificates of Deposit</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17,954</w:t>
            </w:r>
          </w:p>
        </w:tc>
        <w:tc>
          <w:tcPr>
            <w:tcW w:w="2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(2)</w:t>
            </w: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17,971</w:t>
            </w:r>
          </w:p>
        </w:tc>
        <w:tc>
          <w:tcPr>
            <w:tcW w:w="100" w:type="dxa"/>
            <w:vAlign w:val="bottom"/>
            <w:shd w:val="clear" w:color="auto" w:fill="E4E4E4"/>
          </w:tcPr>
          <w:p>
            <w:pPr>
              <w:spacing w:after="0"/>
              <w:rPr>
                <w:sz w:val="19"/>
                <w:szCs w:val="19"/>
                <w:color w:val="auto"/>
              </w:rPr>
            </w:pPr>
          </w:p>
        </w:tc>
      </w:tr>
      <w:tr>
        <w:trPr>
          <w:trHeight w:val="220"/>
        </w:trPr>
        <w:tc>
          <w:tcPr>
            <w:tcW w:w="2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short-term investments</w:t>
            </w:r>
          </w:p>
        </w:tc>
        <w:tc>
          <w:tcPr>
            <w:tcW w:w="160" w:type="dxa"/>
            <w:vAlign w:val="bottom"/>
          </w:tcPr>
          <w:p>
            <w:pPr>
              <w:spacing w:after="0"/>
              <w:rPr>
                <w:sz w:val="19"/>
                <w:szCs w:val="19"/>
                <w:color w:val="auto"/>
              </w:rPr>
            </w:pPr>
          </w:p>
        </w:tc>
        <w:tc>
          <w:tcPr>
            <w:tcW w:w="1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177,023</w:t>
            </w:r>
          </w:p>
        </w:tc>
        <w:tc>
          <w:tcPr>
            <w:tcW w:w="260" w:type="dxa"/>
            <w:vAlign w:val="bottom"/>
          </w:tcPr>
          <w:p>
            <w:pPr>
              <w:spacing w:after="0"/>
              <w:rPr>
                <w:sz w:val="19"/>
                <w:szCs w:val="19"/>
                <w:color w:val="auto"/>
              </w:rPr>
            </w:pPr>
          </w:p>
        </w:tc>
        <w:tc>
          <w:tcPr>
            <w:tcW w:w="300" w:type="dxa"/>
            <w:vAlign w:val="bottom"/>
            <w:tcBorders>
              <w:top w:val="single" w:sz="8" w:color="1E1E1E"/>
              <w:bottom w:val="single" w:sz="8" w:color="1E1E1E"/>
            </w:tcBorders>
          </w:tcPr>
          <w:p>
            <w:pPr>
              <w:jc w:val="right"/>
              <w:ind w:right="10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134</w:t>
            </w:r>
          </w:p>
        </w:tc>
        <w:tc>
          <w:tcPr>
            <w:tcW w:w="240" w:type="dxa"/>
            <w:vAlign w:val="bottom"/>
          </w:tcPr>
          <w:p>
            <w:pPr>
              <w:spacing w:after="0"/>
              <w:rPr>
                <w:sz w:val="19"/>
                <w:szCs w:val="19"/>
                <w:color w:val="auto"/>
              </w:rPr>
            </w:pPr>
          </w:p>
        </w:tc>
        <w:tc>
          <w:tcPr>
            <w:tcW w:w="960" w:type="dxa"/>
            <w:vAlign w:val="bottom"/>
            <w:tcBorders>
              <w:top w:val="single" w:sz="8" w:color="1E1E1E"/>
              <w:bottom w:val="single" w:sz="8" w:color="1E1E1E"/>
            </w:tcBorders>
          </w:tcPr>
          <w:p>
            <w:pPr>
              <w:jc w:val="right"/>
              <w:ind w:right="77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4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(65)</w:t>
            </w:r>
          </w:p>
        </w:tc>
        <w:tc>
          <w:tcPr>
            <w:tcW w:w="260" w:type="dxa"/>
            <w:vAlign w:val="bottom"/>
          </w:tcPr>
          <w:p>
            <w:pPr>
              <w:spacing w:after="0"/>
              <w:rPr>
                <w:sz w:val="19"/>
                <w:szCs w:val="19"/>
                <w:color w:val="auto"/>
              </w:rPr>
            </w:pPr>
          </w:p>
        </w:tc>
        <w:tc>
          <w:tcPr>
            <w:tcW w:w="2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177,092</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1240" w:type="dxa"/>
            <w:vAlign w:val="bottom"/>
            <w:tcBorders>
              <w:bottom w:val="single" w:sz="8" w:color="1E1E1E"/>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2280" w:type="dxa"/>
            <w:vAlign w:val="bottom"/>
            <w:tcBorders>
              <w:bottom w:val="single" w:sz="8" w:color="1E1E1E"/>
            </w:tcBorders>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1E1E1E"/>
              </w:rPr>
              <w:t>December 31, 2022</w:t>
            </w:r>
          </w:p>
        </w:tc>
        <w:tc>
          <w:tcPr>
            <w:tcW w:w="420" w:type="dxa"/>
            <w:vAlign w:val="bottom"/>
            <w:tcBorders>
              <w:bottom w:val="single" w:sz="8" w:color="1E1E1E"/>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Gross Unrealized</w:t>
            </w:r>
          </w:p>
        </w:tc>
        <w:tc>
          <w:tcPr>
            <w:tcW w:w="240" w:type="dxa"/>
            <w:vAlign w:val="bottom"/>
          </w:tcPr>
          <w:p>
            <w:pPr>
              <w:spacing w:after="0"/>
              <w:rPr>
                <w:sz w:val="13"/>
                <w:szCs w:val="13"/>
                <w:color w:val="auto"/>
              </w:rPr>
            </w:pPr>
          </w:p>
        </w:tc>
        <w:tc>
          <w:tcPr>
            <w:tcW w:w="164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Gross Unrealized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4"/>
        </w:trPr>
        <w:tc>
          <w:tcPr>
            <w:tcW w:w="29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240" w:type="dxa"/>
            <w:vAlign w:val="bottom"/>
            <w:tcBorders>
              <w:bottom w:val="single" w:sz="8" w:color="1E1E1E"/>
            </w:tcBorders>
          </w:tcPr>
          <w:p>
            <w:pPr>
              <w:jc w:val="right"/>
              <w:ind w:right="43"/>
              <w:spacing w:after="0"/>
              <w:rPr>
                <w:sz w:val="20"/>
                <w:szCs w:val="20"/>
                <w:color w:val="auto"/>
              </w:rPr>
            </w:pPr>
            <w:r>
              <w:rPr>
                <w:rFonts w:ascii="Times New Roman" w:cs="Times New Roman" w:eastAsia="Times New Roman" w:hAnsi="Times New Roman"/>
                <w:sz w:val="16"/>
                <w:szCs w:val="16"/>
                <w:b w:val="1"/>
                <w:bCs w:val="1"/>
                <w:color w:val="1E1E1E"/>
                <w:w w:val="99"/>
              </w:rPr>
              <w:t>Amortized Cost</w:t>
            </w:r>
          </w:p>
        </w:tc>
        <w:tc>
          <w:tcPr>
            <w:tcW w:w="260" w:type="dxa"/>
            <w:vAlign w:val="bottom"/>
            <w:tcBorders>
              <w:bottom w:val="single" w:sz="8" w:color="E4E4E4"/>
            </w:tcBorders>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jc w:val="center"/>
              <w:ind w:right="226"/>
              <w:spacing w:after="0"/>
              <w:rPr>
                <w:sz w:val="20"/>
                <w:szCs w:val="20"/>
                <w:color w:val="auto"/>
              </w:rPr>
            </w:pPr>
            <w:r>
              <w:rPr>
                <w:rFonts w:ascii="Times New Roman" w:cs="Times New Roman" w:eastAsia="Times New Roman" w:hAnsi="Times New Roman"/>
                <w:sz w:val="16"/>
                <w:szCs w:val="16"/>
                <w:b w:val="1"/>
                <w:bCs w:val="1"/>
                <w:color w:val="1E1E1E"/>
                <w:w w:val="99"/>
              </w:rPr>
              <w:t>Gains</w:t>
            </w:r>
          </w:p>
        </w:tc>
        <w:tc>
          <w:tcPr>
            <w:tcW w:w="240" w:type="dxa"/>
            <w:vAlign w:val="bottom"/>
            <w:tcBorders>
              <w:bottom w:val="single" w:sz="8" w:color="E4E4E4"/>
            </w:tcBorders>
          </w:tcPr>
          <w:p>
            <w:pPr>
              <w:spacing w:after="0"/>
              <w:rPr>
                <w:sz w:val="17"/>
                <w:szCs w:val="17"/>
                <w:color w:val="auto"/>
              </w:rPr>
            </w:pPr>
          </w:p>
        </w:tc>
        <w:tc>
          <w:tcPr>
            <w:tcW w:w="960" w:type="dxa"/>
            <w:vAlign w:val="bottom"/>
            <w:tcBorders>
              <w:bottom w:val="single" w:sz="8" w:color="1E1E1E"/>
            </w:tcBorders>
          </w:tcPr>
          <w:p>
            <w:pPr>
              <w:jc w:val="center"/>
              <w:ind w:left="350"/>
              <w:spacing w:after="0"/>
              <w:rPr>
                <w:sz w:val="20"/>
                <w:szCs w:val="20"/>
                <w:color w:val="auto"/>
              </w:rPr>
            </w:pPr>
            <w:r>
              <w:rPr>
                <w:rFonts w:ascii="Times New Roman" w:cs="Times New Roman" w:eastAsia="Times New Roman" w:hAnsi="Times New Roman"/>
                <w:sz w:val="16"/>
                <w:szCs w:val="16"/>
                <w:b w:val="1"/>
                <w:bCs w:val="1"/>
                <w:color w:val="1E1E1E"/>
                <w:w w:val="98"/>
              </w:rPr>
              <w:t>Losses</w:t>
            </w:r>
          </w:p>
        </w:tc>
        <w:tc>
          <w:tcPr>
            <w:tcW w:w="420" w:type="dxa"/>
            <w:vAlign w:val="bottom"/>
            <w:tcBorders>
              <w:bottom w:val="single" w:sz="8" w:color="1E1E1E"/>
            </w:tcBorders>
          </w:tcPr>
          <w:p>
            <w:pPr>
              <w:spacing w:after="0"/>
              <w:rPr>
                <w:sz w:val="17"/>
                <w:szCs w:val="17"/>
                <w:color w:val="auto"/>
              </w:rPr>
            </w:pPr>
          </w:p>
        </w:tc>
        <w:tc>
          <w:tcPr>
            <w:tcW w:w="260" w:type="dxa"/>
            <w:vAlign w:val="bottom"/>
            <w:tcBorders>
              <w:bottom w:val="single" w:sz="8" w:color="E4E4E4"/>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1E1E1E"/>
              </w:rPr>
              <w:t>Fair Value</w:t>
            </w:r>
          </w:p>
        </w:tc>
        <w:tc>
          <w:tcPr>
            <w:tcW w:w="100" w:type="dxa"/>
            <w:vAlign w:val="bottom"/>
            <w:tcBorders>
              <w:bottom w:val="single" w:sz="8" w:color="E4E4E4"/>
            </w:tcBorders>
          </w:tcPr>
          <w:p>
            <w:pPr>
              <w:spacing w:after="0"/>
              <w:rPr>
                <w:sz w:val="17"/>
                <w:szCs w:val="17"/>
                <w:color w:val="auto"/>
              </w:rPr>
            </w:pPr>
          </w:p>
        </w:tc>
      </w:tr>
      <w:tr>
        <w:trPr>
          <w:trHeight w:val="220"/>
        </w:trPr>
        <w:tc>
          <w:tcPr>
            <w:tcW w:w="29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Short-term investments:</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US treasuries</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59,849</w:t>
            </w:r>
          </w:p>
        </w:tc>
        <w:tc>
          <w:tcPr>
            <w:tcW w:w="260" w:type="dxa"/>
            <w:vAlign w:val="bottom"/>
          </w:tcPr>
          <w:p>
            <w:pPr>
              <w:spacing w:after="0"/>
              <w:rPr>
                <w:sz w:val="19"/>
                <w:szCs w:val="19"/>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24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20"/>
                <w:szCs w:val="20"/>
                <w:color w:val="1E1E1E"/>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2"/>
              </w:rPr>
              <w:t>(129)</w:t>
            </w:r>
          </w:p>
        </w:tc>
        <w:tc>
          <w:tcPr>
            <w:tcW w:w="2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59,723</w:t>
            </w:r>
          </w:p>
        </w:tc>
        <w:tc>
          <w:tcPr>
            <w:tcW w:w="100" w:type="dxa"/>
            <w:vAlign w:val="bottom"/>
          </w:tcPr>
          <w:p>
            <w:pPr>
              <w:spacing w:after="0"/>
              <w:rPr>
                <w:sz w:val="19"/>
                <w:szCs w:val="19"/>
                <w:color w:val="auto"/>
              </w:rPr>
            </w:pPr>
          </w:p>
        </w:tc>
      </w:tr>
      <w:tr>
        <w:trPr>
          <w:trHeight w:val="230"/>
        </w:trPr>
        <w:tc>
          <w:tcPr>
            <w:tcW w:w="29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Agency bonds</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6,450</w:t>
            </w:r>
          </w:p>
        </w:tc>
        <w:tc>
          <w:tcPr>
            <w:tcW w:w="2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(2)</w:t>
            </w: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6,452</w:t>
            </w:r>
          </w:p>
        </w:tc>
        <w:tc>
          <w:tcPr>
            <w:tcW w:w="100" w:type="dxa"/>
            <w:vAlign w:val="bottom"/>
            <w:shd w:val="clear" w:color="auto" w:fill="E4E4E4"/>
          </w:tcPr>
          <w:p>
            <w:pPr>
              <w:spacing w:after="0"/>
              <w:rPr>
                <w:sz w:val="19"/>
                <w:szCs w:val="19"/>
                <w:color w:val="auto"/>
              </w:rPr>
            </w:pPr>
          </w:p>
        </w:tc>
      </w:tr>
      <w:tr>
        <w:trPr>
          <w:trHeight w:val="230"/>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Commercial paper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95,831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(123)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95,737</w:t>
            </w:r>
          </w:p>
        </w:tc>
        <w:tc>
          <w:tcPr>
            <w:tcW w:w="100" w:type="dxa"/>
            <w:vAlign w:val="bottom"/>
          </w:tcPr>
          <w:p>
            <w:pPr>
              <w:spacing w:after="0"/>
              <w:rPr>
                <w:sz w:val="19"/>
                <w:szCs w:val="19"/>
                <w:color w:val="auto"/>
              </w:rPr>
            </w:pPr>
          </w:p>
        </w:tc>
      </w:tr>
      <w:tr>
        <w:trPr>
          <w:trHeight w:val="230"/>
        </w:trPr>
        <w:tc>
          <w:tcPr>
            <w:tcW w:w="29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Certificates of deposit</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23,034</w:t>
            </w:r>
          </w:p>
        </w:tc>
        <w:tc>
          <w:tcPr>
            <w:tcW w:w="2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4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6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(24)</w:t>
            </w:r>
          </w:p>
        </w:tc>
        <w:tc>
          <w:tcPr>
            <w:tcW w:w="20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23,027</w:t>
            </w:r>
          </w:p>
        </w:tc>
        <w:tc>
          <w:tcPr>
            <w:tcW w:w="100" w:type="dxa"/>
            <w:vAlign w:val="bottom"/>
            <w:shd w:val="clear" w:color="auto" w:fill="E4E4E4"/>
          </w:tcPr>
          <w:p>
            <w:pPr>
              <w:spacing w:after="0"/>
              <w:rPr>
                <w:sz w:val="19"/>
                <w:szCs w:val="19"/>
                <w:color w:val="auto"/>
              </w:rPr>
            </w:pPr>
          </w:p>
        </w:tc>
      </w:tr>
      <w:tr>
        <w:trPr>
          <w:trHeight w:val="220"/>
        </w:trPr>
        <w:tc>
          <w:tcPr>
            <w:tcW w:w="2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short-term investments</w:t>
            </w:r>
          </w:p>
        </w:tc>
        <w:tc>
          <w:tcPr>
            <w:tcW w:w="160" w:type="dxa"/>
            <w:vAlign w:val="bottom"/>
          </w:tcPr>
          <w:p>
            <w:pPr>
              <w:spacing w:after="0"/>
              <w:rPr>
                <w:sz w:val="19"/>
                <w:szCs w:val="19"/>
                <w:color w:val="auto"/>
              </w:rPr>
            </w:pPr>
          </w:p>
        </w:tc>
        <w:tc>
          <w:tcPr>
            <w:tcW w:w="1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185,164</w:t>
            </w:r>
          </w:p>
        </w:tc>
        <w:tc>
          <w:tcPr>
            <w:tcW w:w="260" w:type="dxa"/>
            <w:vAlign w:val="bottom"/>
          </w:tcPr>
          <w:p>
            <w:pPr>
              <w:spacing w:after="0"/>
              <w:rPr>
                <w:sz w:val="19"/>
                <w:szCs w:val="19"/>
                <w:color w:val="auto"/>
              </w:rPr>
            </w:pPr>
          </w:p>
        </w:tc>
        <w:tc>
          <w:tcPr>
            <w:tcW w:w="300" w:type="dxa"/>
            <w:vAlign w:val="bottom"/>
            <w:tcBorders>
              <w:top w:val="single" w:sz="8" w:color="1E1E1E"/>
              <w:bottom w:val="single" w:sz="8" w:color="1E1E1E"/>
            </w:tcBorders>
          </w:tcPr>
          <w:p>
            <w:pPr>
              <w:jc w:val="right"/>
              <w:ind w:right="10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53</w:t>
            </w:r>
          </w:p>
        </w:tc>
        <w:tc>
          <w:tcPr>
            <w:tcW w:w="240" w:type="dxa"/>
            <w:vAlign w:val="bottom"/>
          </w:tcPr>
          <w:p>
            <w:pPr>
              <w:spacing w:after="0"/>
              <w:rPr>
                <w:sz w:val="19"/>
                <w:szCs w:val="19"/>
                <w:color w:val="auto"/>
              </w:rPr>
            </w:pPr>
          </w:p>
        </w:tc>
        <w:tc>
          <w:tcPr>
            <w:tcW w:w="960" w:type="dxa"/>
            <w:vAlign w:val="bottom"/>
            <w:tcBorders>
              <w:top w:val="single" w:sz="8" w:color="1E1E1E"/>
              <w:bottom w:val="single" w:sz="8" w:color="1E1E1E"/>
            </w:tcBorders>
          </w:tcPr>
          <w:p>
            <w:pPr>
              <w:jc w:val="right"/>
              <w:ind w:right="77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4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92"/>
              </w:rPr>
              <w:t>(278)</w:t>
            </w:r>
          </w:p>
        </w:tc>
        <w:tc>
          <w:tcPr>
            <w:tcW w:w="260" w:type="dxa"/>
            <w:vAlign w:val="bottom"/>
          </w:tcPr>
          <w:p>
            <w:pPr>
              <w:spacing w:after="0"/>
              <w:rPr>
                <w:sz w:val="19"/>
                <w:szCs w:val="19"/>
                <w:color w:val="auto"/>
              </w:rPr>
            </w:pPr>
          </w:p>
        </w:tc>
        <w:tc>
          <w:tcPr>
            <w:tcW w:w="2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184,939</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1E1E1E"/>
        </w:rPr>
        <w:t>All short-term investments had stated maturity dates of less than one year. Included in the amortized cost as of December 31, 2023 and 2022 is accretion of $2.8 million and $1.2 million, respectively. Interest accretion on short-term investments was $8.2 million and $1.1 million during the years ended December 31, 2023 and 2022, respectively.</w:t>
      </w:r>
    </w:p>
    <w:p>
      <w:pPr>
        <w:sectPr>
          <w:pgSz w:w="11880" w:h="15480" w:orient="portrait"/>
          <w:cols w:equalWidth="0" w:num="1">
            <w:col w:w="10200"/>
          </w:cols>
          <w:pgMar w:left="820" w:top="803" w:right="8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F-30</w:t>
      </w:r>
    </w:p>
    <w:p>
      <w:pPr>
        <w:sectPr>
          <w:pgSz w:w="11880" w:h="15480" w:orient="portrait"/>
          <w:cols w:equalWidth="0" w:num="1">
            <w:col w:w="10200"/>
          </w:cols>
          <w:pgMar w:left="820" w:top="803" w:right="860" w:bottom="8" w:gutter="0" w:footer="0" w:header="0"/>
          <w:type w:val="continuous"/>
        </w:sectPr>
      </w:pPr>
    </w:p>
    <w:bookmarkStart w:id="114" w:name="page115"/>
    <w:bookmarkEnd w:id="114"/>
    <w:p>
      <w:pPr>
        <w:ind w:left="492" w:hanging="492"/>
        <w:spacing w:after="0"/>
        <w:tabs>
          <w:tab w:leader="none" w:pos="492" w:val="left"/>
        </w:tabs>
        <w:numPr>
          <w:ilvl w:val="0"/>
          <w:numId w:val="4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Accounts Receivable</w:t>
      </w:r>
    </w:p>
    <w:p>
      <w:pPr>
        <w:spacing w:after="0" w:line="123" w:lineRule="exact"/>
        <w:rPr>
          <w:rFonts w:ascii="Times New Roman" w:cs="Times New Roman" w:eastAsia="Times New Roman" w:hAnsi="Times New Roman"/>
          <w:sz w:val="20"/>
          <w:szCs w:val="20"/>
          <w:b w:val="1"/>
          <w:bCs w:val="1"/>
          <w:color w:val="1E1E1E"/>
        </w:rPr>
      </w:pPr>
    </w:p>
    <w:p>
      <w:pPr>
        <w:ind w:left="492"/>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Accounts receivable consisted of the following as of:</w:t>
      </w:r>
    </w:p>
    <w:p>
      <w:pPr>
        <w:spacing w:after="0" w:line="232" w:lineRule="exact"/>
        <w:rPr>
          <w:sz w:val="20"/>
          <w:szCs w:val="20"/>
          <w:color w:val="auto"/>
        </w:rPr>
      </w:pPr>
    </w:p>
    <w:tbl>
      <w:tblPr>
        <w:tblLayout w:type="fixed"/>
        <w:tblInd w:w="512"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4"/>
        </w:trPr>
        <w:tc>
          <w:tcPr>
            <w:tcW w:w="5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58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Accounts receivable</w:t>
            </w:r>
          </w:p>
        </w:tc>
        <w:tc>
          <w:tcPr>
            <w:tcW w:w="14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60,206</w:t>
            </w:r>
          </w:p>
        </w:tc>
        <w:tc>
          <w:tcPr>
            <w:tcW w:w="26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59,780</w:t>
            </w:r>
          </w:p>
        </w:tc>
        <w:tc>
          <w:tcPr>
            <w:tcW w:w="100" w:type="dxa"/>
            <w:vAlign w:val="bottom"/>
            <w:shd w:val="clear" w:color="auto" w:fill="E4E4E4"/>
          </w:tcPr>
          <w:p>
            <w:pPr>
              <w:spacing w:after="0"/>
              <w:rPr>
                <w:sz w:val="19"/>
                <w:szCs w:val="19"/>
                <w:color w:val="auto"/>
              </w:rPr>
            </w:pPr>
          </w:p>
        </w:tc>
      </w:tr>
      <w:tr>
        <w:trPr>
          <w:trHeight w:val="230"/>
        </w:trPr>
        <w:tc>
          <w:tcPr>
            <w:tcW w:w="5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Unbilled receivable</w:t>
            </w:r>
          </w:p>
        </w:tc>
        <w:tc>
          <w:tcPr>
            <w:tcW w:w="14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1,346</w:t>
            </w:r>
          </w:p>
        </w:tc>
        <w:tc>
          <w:tcPr>
            <w:tcW w:w="26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881</w:t>
            </w:r>
          </w:p>
        </w:tc>
        <w:tc>
          <w:tcPr>
            <w:tcW w:w="100" w:type="dxa"/>
            <w:vAlign w:val="bottom"/>
            <w:tcBorders>
              <w:bottom w:val="single" w:sz="8" w:color="E4E4E4"/>
            </w:tcBorders>
          </w:tcPr>
          <w:p>
            <w:pPr>
              <w:spacing w:after="0"/>
              <w:rPr>
                <w:sz w:val="19"/>
                <w:szCs w:val="19"/>
                <w:color w:val="auto"/>
              </w:rPr>
            </w:pPr>
          </w:p>
        </w:tc>
      </w:tr>
      <w:tr>
        <w:trPr>
          <w:trHeight w:val="220"/>
        </w:trPr>
        <w:tc>
          <w:tcPr>
            <w:tcW w:w="58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61,552</w:t>
            </w:r>
          </w:p>
        </w:tc>
        <w:tc>
          <w:tcPr>
            <w:tcW w:w="26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60,661</w:t>
            </w:r>
          </w:p>
        </w:tc>
        <w:tc>
          <w:tcPr>
            <w:tcW w:w="100" w:type="dxa"/>
            <w:vAlign w:val="bottom"/>
            <w:shd w:val="clear" w:color="auto" w:fill="E4E4E4"/>
          </w:tcPr>
          <w:p>
            <w:pPr>
              <w:spacing w:after="0"/>
              <w:rPr>
                <w:sz w:val="19"/>
                <w:szCs w:val="19"/>
                <w:color w:val="auto"/>
              </w:rPr>
            </w:pPr>
          </w:p>
        </w:tc>
      </w:tr>
      <w:tr>
        <w:trPr>
          <w:trHeight w:val="230"/>
        </w:trPr>
        <w:tc>
          <w:tcPr>
            <w:tcW w:w="582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20"/>
                <w:szCs w:val="20"/>
                <w:color w:val="1E1E1E"/>
              </w:rPr>
              <w:t>Less: allowance for doubtful accounts</w:t>
            </w:r>
          </w:p>
        </w:tc>
        <w:tc>
          <w:tcPr>
            <w:tcW w:w="14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(2,303)</w:t>
            </w:r>
          </w:p>
        </w:tc>
        <w:tc>
          <w:tcPr>
            <w:tcW w:w="26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(1,862)</w:t>
            </w:r>
          </w:p>
        </w:tc>
        <w:tc>
          <w:tcPr>
            <w:tcW w:w="100" w:type="dxa"/>
            <w:vAlign w:val="bottom"/>
            <w:tcBorders>
              <w:bottom w:val="single" w:sz="8" w:color="E4E4E4"/>
            </w:tcBorders>
          </w:tcPr>
          <w:p>
            <w:pPr>
              <w:spacing w:after="0"/>
              <w:rPr>
                <w:sz w:val="19"/>
                <w:szCs w:val="19"/>
                <w:color w:val="auto"/>
              </w:rPr>
            </w:pPr>
          </w:p>
        </w:tc>
      </w:tr>
      <w:tr>
        <w:trPr>
          <w:trHeight w:val="220"/>
        </w:trPr>
        <w:tc>
          <w:tcPr>
            <w:tcW w:w="58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Accounts receivable, net</w:t>
            </w:r>
          </w:p>
        </w:tc>
        <w:tc>
          <w:tcPr>
            <w:tcW w:w="14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59,249</w:t>
            </w:r>
          </w:p>
        </w:tc>
        <w:tc>
          <w:tcPr>
            <w:tcW w:w="26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58,799</w:t>
            </w:r>
          </w:p>
        </w:tc>
        <w:tc>
          <w:tcPr>
            <w:tcW w:w="100" w:type="dxa"/>
            <w:vAlign w:val="bottom"/>
            <w:shd w:val="clear" w:color="auto" w:fill="E4E4E4"/>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12"/>
          </w:cols>
          <w:pgMar w:left="828" w:top="803" w:right="13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19"/>
          <w:szCs w:val="19"/>
          <w:color w:val="1E1E1E"/>
        </w:rPr>
        <w:t>F-31</w:t>
      </w:r>
    </w:p>
    <w:p>
      <w:pPr>
        <w:sectPr>
          <w:pgSz w:w="11880" w:h="15480" w:orient="portrait"/>
          <w:cols w:equalWidth="0" w:num="1">
            <w:col w:w="9712"/>
          </w:cols>
          <w:pgMar w:left="828" w:top="803" w:right="1340" w:bottom="8" w:gutter="0" w:footer="0" w:header="0"/>
          <w:type w:val="continuous"/>
        </w:sectPr>
      </w:pPr>
    </w:p>
    <w:bookmarkStart w:id="115" w:name="page116"/>
    <w:bookmarkEnd w:id="115"/>
    <w:p>
      <w:pPr>
        <w:ind w:left="500" w:hanging="492"/>
        <w:spacing w:after="0"/>
        <w:tabs>
          <w:tab w:leader="none" w:pos="500" w:val="left"/>
        </w:tabs>
        <w:numPr>
          <w:ilvl w:val="0"/>
          <w:numId w:val="4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Property and Equipment</w:t>
      </w:r>
    </w:p>
    <w:p>
      <w:pPr>
        <w:spacing w:after="0" w:line="123" w:lineRule="exact"/>
        <w:rPr>
          <w:rFonts w:ascii="Times New Roman" w:cs="Times New Roman" w:eastAsia="Times New Roman" w:hAnsi="Times New Roman"/>
          <w:sz w:val="20"/>
          <w:szCs w:val="20"/>
          <w:b w:val="1"/>
          <w:bCs w:val="1"/>
          <w:color w:val="1E1E1E"/>
        </w:rPr>
      </w:pPr>
    </w:p>
    <w:p>
      <w:pPr>
        <w:ind w:left="50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Property and equipment consisted of the following as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60" w:type="dxa"/>
            <w:vAlign w:val="bottom"/>
          </w:tcPr>
          <w:p>
            <w:pPr>
              <w:spacing w:after="0"/>
              <w:rPr>
                <w:sz w:val="16"/>
                <w:szCs w:val="16"/>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4"/>
        </w:trPr>
        <w:tc>
          <w:tcPr>
            <w:tcW w:w="68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40" w:type="dxa"/>
            <w:vAlign w:val="bottom"/>
            <w:tcBorders>
              <w:bottom w:val="single" w:sz="8" w:color="1E1E1E"/>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8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68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Computers and software</w:t>
            </w: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6,921</w:t>
            </w:r>
          </w:p>
        </w:tc>
        <w:tc>
          <w:tcPr>
            <w:tcW w:w="28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5,924</w:t>
            </w:r>
          </w:p>
        </w:tc>
        <w:tc>
          <w:tcPr>
            <w:tcW w:w="100" w:type="dxa"/>
            <w:vAlign w:val="bottom"/>
            <w:shd w:val="clear" w:color="auto" w:fill="E4E4E4"/>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1E1E1E"/>
              </w:rPr>
              <w:t>Furniture and equipment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1,172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1,204</w:t>
            </w:r>
          </w:p>
        </w:tc>
        <w:tc>
          <w:tcPr>
            <w:tcW w:w="100" w:type="dxa"/>
            <w:vAlign w:val="bottom"/>
          </w:tcPr>
          <w:p>
            <w:pPr>
              <w:spacing w:after="0"/>
              <w:rPr>
                <w:sz w:val="19"/>
                <w:szCs w:val="19"/>
                <w:color w:val="auto"/>
              </w:rPr>
            </w:pPr>
          </w:p>
        </w:tc>
      </w:tr>
      <w:tr>
        <w:trPr>
          <w:trHeight w:val="230"/>
        </w:trPr>
        <w:tc>
          <w:tcPr>
            <w:tcW w:w="6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Leasehold improvements</w:t>
            </w:r>
          </w:p>
        </w:tc>
        <w:tc>
          <w:tcPr>
            <w:tcW w:w="16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spacing w:after="0"/>
              <w:rPr>
                <w:sz w:val="19"/>
                <w:szCs w:val="19"/>
                <w:color w:val="auto"/>
              </w:rPr>
            </w:pPr>
          </w:p>
        </w:tc>
        <w:tc>
          <w:tcPr>
            <w:tcW w:w="12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2,338</w:t>
            </w:r>
          </w:p>
        </w:tc>
        <w:tc>
          <w:tcPr>
            <w:tcW w:w="28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spacing w:after="0"/>
              <w:rPr>
                <w:sz w:val="19"/>
                <w:szCs w:val="19"/>
                <w:color w:val="auto"/>
              </w:rPr>
            </w:pPr>
          </w:p>
        </w:tc>
        <w:tc>
          <w:tcPr>
            <w:tcW w:w="12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2,134</w:t>
            </w:r>
          </w:p>
        </w:tc>
        <w:tc>
          <w:tcPr>
            <w:tcW w:w="100" w:type="dxa"/>
            <w:vAlign w:val="bottom"/>
            <w:shd w:val="clear" w:color="auto" w:fill="E4E4E4"/>
          </w:tcPr>
          <w:p>
            <w:pPr>
              <w:spacing w:after="0"/>
              <w:rPr>
                <w:sz w:val="19"/>
                <w:szCs w:val="19"/>
                <w:color w:val="auto"/>
              </w:rPr>
            </w:pPr>
          </w:p>
        </w:tc>
      </w:tr>
      <w:tr>
        <w:trPr>
          <w:trHeight w:val="220"/>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10,431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9,262</w:t>
            </w:r>
          </w:p>
        </w:tc>
        <w:tc>
          <w:tcPr>
            <w:tcW w:w="100" w:type="dxa"/>
            <w:vAlign w:val="bottom"/>
          </w:tcPr>
          <w:p>
            <w:pPr>
              <w:spacing w:after="0"/>
              <w:rPr>
                <w:sz w:val="19"/>
                <w:szCs w:val="19"/>
                <w:color w:val="auto"/>
              </w:rPr>
            </w:pPr>
          </w:p>
        </w:tc>
      </w:tr>
      <w:tr>
        <w:trPr>
          <w:trHeight w:val="230"/>
        </w:trPr>
        <w:tc>
          <w:tcPr>
            <w:tcW w:w="686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Less: accumulated depreciation and amortization</w:t>
            </w: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52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20"/>
                <w:szCs w:val="20"/>
                <w:color w:val="1E1E1E"/>
              </w:rPr>
              <w:t>(5,960)</w:t>
            </w:r>
          </w:p>
        </w:tc>
        <w:tc>
          <w:tcPr>
            <w:tcW w:w="160" w:type="dxa"/>
            <w:vAlign w:val="bottom"/>
            <w:shd w:val="clear" w:color="auto" w:fill="E4E4E4"/>
          </w:tcPr>
          <w:p>
            <w:pPr>
              <w:spacing w:after="0"/>
              <w:rPr>
                <w:sz w:val="19"/>
                <w:szCs w:val="19"/>
                <w:color w:val="auto"/>
              </w:rPr>
            </w:pPr>
          </w:p>
        </w:tc>
        <w:tc>
          <w:tcPr>
            <w:tcW w:w="136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(4,798)</w:t>
            </w:r>
          </w:p>
        </w:tc>
      </w:tr>
      <w:tr>
        <w:trPr>
          <w:trHeight w:val="220"/>
        </w:trPr>
        <w:tc>
          <w:tcPr>
            <w:tcW w:w="6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Property and equipment, net</w:t>
            </w:r>
          </w:p>
        </w:tc>
        <w:tc>
          <w:tcPr>
            <w:tcW w:w="160" w:type="dxa"/>
            <w:vAlign w:val="bottom"/>
          </w:tcPr>
          <w:p>
            <w:pPr>
              <w:spacing w:after="0"/>
              <w:rPr>
                <w:sz w:val="19"/>
                <w:szCs w:val="19"/>
                <w:color w:val="auto"/>
              </w:rPr>
            </w:pPr>
          </w:p>
        </w:tc>
        <w:tc>
          <w:tcPr>
            <w:tcW w:w="1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4,471</w:t>
            </w:r>
          </w:p>
        </w:tc>
        <w:tc>
          <w:tcPr>
            <w:tcW w:w="280" w:type="dxa"/>
            <w:vAlign w:val="bottom"/>
          </w:tcPr>
          <w:p>
            <w:pPr>
              <w:spacing w:after="0"/>
              <w:rPr>
                <w:sz w:val="19"/>
                <w:szCs w:val="19"/>
                <w:color w:val="auto"/>
              </w:rPr>
            </w:pPr>
          </w:p>
        </w:tc>
        <w:tc>
          <w:tcPr>
            <w:tcW w:w="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4,464</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40" w:firstLine="490"/>
        <w:spacing w:after="0" w:line="279" w:lineRule="auto"/>
        <w:rPr>
          <w:sz w:val="20"/>
          <w:szCs w:val="20"/>
          <w:color w:val="auto"/>
        </w:rPr>
      </w:pPr>
      <w:r>
        <w:rPr>
          <w:rFonts w:ascii="Times New Roman" w:cs="Times New Roman" w:eastAsia="Times New Roman" w:hAnsi="Times New Roman"/>
          <w:sz w:val="20"/>
          <w:szCs w:val="20"/>
          <w:color w:val="1E1E1E"/>
        </w:rPr>
        <w:t>Depreciation and amortization expense was $2.0 million, $2.2 million and $1.7 million for the years ended December 31, 2023, 2022 and 2021, respectively.</w:t>
      </w:r>
    </w:p>
    <w:p>
      <w:pPr>
        <w:spacing w:after="0" w:line="45"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1E1E1E"/>
        </w:rPr>
        <w:t>Impairment charges for operating lease right-of-use assets and leasehold improvements due to office closures and relocations were $0.2 million and $1.0 million for the years ended December 31, 2023 and 2022, respectively. These charges were recognized within transaction, integration and restructuring expenses in the Company’s consolidated statements of operations.</w:t>
      </w:r>
    </w:p>
    <w:p>
      <w:pPr>
        <w:spacing w:after="0" w:line="70" w:lineRule="exact"/>
        <w:rPr>
          <w:sz w:val="20"/>
          <w:szCs w:val="20"/>
          <w:color w:val="auto"/>
        </w:rPr>
      </w:pPr>
    </w:p>
    <w:p>
      <w:pPr>
        <w:ind w:right="300" w:firstLine="490"/>
        <w:spacing w:after="0" w:line="279" w:lineRule="auto"/>
        <w:rPr>
          <w:sz w:val="20"/>
          <w:szCs w:val="20"/>
          <w:color w:val="auto"/>
        </w:rPr>
      </w:pPr>
      <w:r>
        <w:rPr>
          <w:rFonts w:ascii="Times New Roman" w:cs="Times New Roman" w:eastAsia="Times New Roman" w:hAnsi="Times New Roman"/>
          <w:sz w:val="20"/>
          <w:szCs w:val="20"/>
          <w:color w:val="1E1E1E"/>
        </w:rPr>
        <w:t>The Company also disposed of fully-depreciated property and equipment of $0.8 million and $2.1 million in the years ended December 31, 2023 and 2022, respectively.</w:t>
      </w:r>
    </w:p>
    <w:p>
      <w:pPr>
        <w:sectPr>
          <w:pgSz w:w="11880" w:h="15480" w:orient="portrait"/>
          <w:cols w:equalWidth="0" w:num="1">
            <w:col w:w="10240"/>
          </w:cols>
          <w:pgMar w:left="820" w:top="803"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F-32</w:t>
      </w:r>
    </w:p>
    <w:p>
      <w:pPr>
        <w:sectPr>
          <w:pgSz w:w="11880" w:h="15480" w:orient="portrait"/>
          <w:cols w:equalWidth="0" w:num="1">
            <w:col w:w="10240"/>
          </w:cols>
          <w:pgMar w:left="820" w:top="803" w:right="820" w:bottom="8" w:gutter="0" w:footer="0" w:header="0"/>
          <w:type w:val="continuous"/>
        </w:sectPr>
      </w:pPr>
    </w:p>
    <w:bookmarkStart w:id="116" w:name="page117"/>
    <w:bookmarkEnd w:id="116"/>
    <w:p>
      <w:pPr>
        <w:ind w:left="500" w:hanging="492"/>
        <w:spacing w:after="0"/>
        <w:tabs>
          <w:tab w:leader="none" w:pos="500" w:val="left"/>
        </w:tabs>
        <w:numPr>
          <w:ilvl w:val="0"/>
          <w:numId w:val="4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Goodwill and Intangible Assets</w:t>
      </w:r>
    </w:p>
    <w:p>
      <w:pPr>
        <w:spacing w:after="0" w:line="123" w:lineRule="exact"/>
        <w:rPr>
          <w:rFonts w:ascii="Times New Roman" w:cs="Times New Roman" w:eastAsia="Times New Roman" w:hAnsi="Times New Roman"/>
          <w:sz w:val="20"/>
          <w:szCs w:val="20"/>
          <w:b w:val="1"/>
          <w:bCs w:val="1"/>
          <w:color w:val="1E1E1E"/>
        </w:rPr>
      </w:pPr>
    </w:p>
    <w:p>
      <w:pPr>
        <w:ind w:left="50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The carrying amounts of goodwill and intangible assets consisted of the following as of:</w:t>
      </w:r>
    </w:p>
    <w:p>
      <w:pPr>
        <w:spacing w:after="0" w:line="200" w:lineRule="exact"/>
        <w:rPr>
          <w:sz w:val="20"/>
          <w:szCs w:val="20"/>
          <w:color w:val="auto"/>
        </w:rPr>
      </w:pPr>
    </w:p>
    <w:p>
      <w:pPr>
        <w:spacing w:after="0" w:line="26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1700" w:type="dxa"/>
            <w:vAlign w:val="bottom"/>
            <w:tcBorders>
              <w:bottom w:val="single" w:sz="8" w:color="1E1E1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120" w:type="dxa"/>
            <w:vAlign w:val="bottom"/>
            <w:tcBorders>
              <w:bottom w:val="single" w:sz="8" w:color="1E1E1E"/>
            </w:tcBorders>
          </w:tcPr>
          <w:p>
            <w:pPr>
              <w:spacing w:after="0"/>
              <w:rPr>
                <w:sz w:val="17"/>
                <w:szCs w:val="17"/>
                <w:color w:val="auto"/>
              </w:rPr>
            </w:pPr>
          </w:p>
        </w:tc>
        <w:tc>
          <w:tcPr>
            <w:tcW w:w="110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6"/>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Gross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1E1E1E"/>
              </w:rPr>
              <w:t>Carrying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20" w:type="dxa"/>
            <w:vAlign w:val="bottom"/>
          </w:tcPr>
          <w:p>
            <w:pPr>
              <w:spacing w:after="0"/>
              <w:rPr>
                <w:sz w:val="15"/>
                <w:szCs w:val="15"/>
                <w:color w:val="auto"/>
              </w:rPr>
            </w:pPr>
          </w:p>
        </w:tc>
        <w:tc>
          <w:tcPr>
            <w:tcW w:w="11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1E1E1E"/>
              </w:rPr>
              <w:t>Net Carrying</w:t>
            </w:r>
          </w:p>
        </w:tc>
        <w:tc>
          <w:tcPr>
            <w:tcW w:w="100" w:type="dxa"/>
            <w:vAlign w:val="bottom"/>
          </w:tcPr>
          <w:p>
            <w:pPr>
              <w:spacing w:after="0"/>
              <w:rPr>
                <w:sz w:val="15"/>
                <w:szCs w:val="15"/>
                <w:color w:val="auto"/>
              </w:rPr>
            </w:pPr>
          </w:p>
        </w:tc>
      </w:tr>
      <w:tr>
        <w:trPr>
          <w:trHeight w:val="204"/>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120" w:type="dxa"/>
            <w:vAlign w:val="bottom"/>
          </w:tcPr>
          <w:p>
            <w:pPr>
              <w:spacing w:after="0"/>
              <w:rPr>
                <w:sz w:val="17"/>
                <w:szCs w:val="17"/>
                <w:color w:val="auto"/>
              </w:rPr>
            </w:pPr>
          </w:p>
        </w:tc>
        <w:tc>
          <w:tcPr>
            <w:tcW w:w="11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00" w:type="dxa"/>
            <w:vAlign w:val="bottom"/>
          </w:tcPr>
          <w:p>
            <w:pPr>
              <w:spacing w:after="0"/>
              <w:rPr>
                <w:sz w:val="17"/>
                <w:szCs w:val="17"/>
                <w:color w:val="auto"/>
              </w:rPr>
            </w:pPr>
          </w:p>
        </w:tc>
      </w:tr>
      <w:tr>
        <w:trPr>
          <w:trHeight w:val="220"/>
        </w:trPr>
        <w:tc>
          <w:tcPr>
            <w:tcW w:w="482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Finite-lived intangible assets:</w:t>
            </w:r>
          </w:p>
        </w:tc>
        <w:tc>
          <w:tcPr>
            <w:tcW w:w="140" w:type="dxa"/>
            <w:vAlign w:val="bottom"/>
            <w:tcBorders>
              <w:top w:val="single" w:sz="8" w:color="E4E4E4"/>
            </w:tcBorders>
            <w:shd w:val="clear" w:color="auto" w:fill="E4E4E4"/>
          </w:tcPr>
          <w:p>
            <w:pPr>
              <w:spacing w:after="0"/>
              <w:rPr>
                <w:sz w:val="19"/>
                <w:szCs w:val="19"/>
                <w:color w:val="auto"/>
              </w:rPr>
            </w:pPr>
          </w:p>
        </w:tc>
        <w:tc>
          <w:tcPr>
            <w:tcW w:w="180" w:type="dxa"/>
            <w:vAlign w:val="bottom"/>
            <w:tcBorders>
              <w:top w:val="single" w:sz="8" w:color="1E1E1E"/>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spacing w:after="0"/>
              <w:rPr>
                <w:sz w:val="19"/>
                <w:szCs w:val="19"/>
                <w:color w:val="auto"/>
              </w:rPr>
            </w:pPr>
          </w:p>
        </w:tc>
        <w:tc>
          <w:tcPr>
            <w:tcW w:w="22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110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10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410,210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(163,586)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246,624</w:t>
            </w:r>
          </w:p>
        </w:tc>
        <w:tc>
          <w:tcPr>
            <w:tcW w:w="100" w:type="dxa"/>
            <w:vAlign w:val="bottom"/>
          </w:tcPr>
          <w:p>
            <w:pPr>
              <w:spacing w:after="0"/>
              <w:rPr>
                <w:sz w:val="19"/>
                <w:szCs w:val="19"/>
                <w:color w:val="auto"/>
              </w:rPr>
            </w:pPr>
          </w:p>
        </w:tc>
      </w:tr>
      <w:tr>
        <w:trPr>
          <w:trHeight w:val="230"/>
        </w:trPr>
        <w:tc>
          <w:tcPr>
            <w:tcW w:w="4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Developed technologies</w:t>
            </w:r>
          </w:p>
        </w:tc>
        <w:tc>
          <w:tcPr>
            <w:tcW w:w="1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78,434</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(33,769)</w:t>
            </w:r>
          </w:p>
        </w:tc>
        <w:tc>
          <w:tcPr>
            <w:tcW w:w="1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44,665</w:t>
            </w:r>
          </w:p>
        </w:tc>
        <w:tc>
          <w:tcPr>
            <w:tcW w:w="100" w:type="dxa"/>
            <w:vAlign w:val="bottom"/>
            <w:shd w:val="clear" w:color="auto" w:fill="E4E4E4"/>
          </w:tcPr>
          <w:p>
            <w:pPr>
              <w:spacing w:after="0"/>
              <w:rPr>
                <w:sz w:val="19"/>
                <w:szCs w:val="19"/>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Tradenames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36,062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(9,379)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26,683</w:t>
            </w:r>
          </w:p>
        </w:tc>
        <w:tc>
          <w:tcPr>
            <w:tcW w:w="100" w:type="dxa"/>
            <w:vAlign w:val="bottom"/>
          </w:tcPr>
          <w:p>
            <w:pPr>
              <w:spacing w:after="0"/>
              <w:rPr>
                <w:sz w:val="19"/>
                <w:szCs w:val="19"/>
                <w:color w:val="auto"/>
              </w:rPr>
            </w:pPr>
          </w:p>
        </w:tc>
      </w:tr>
      <w:tr>
        <w:trPr>
          <w:trHeight w:val="230"/>
        </w:trPr>
        <w:tc>
          <w:tcPr>
            <w:tcW w:w="4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Database</w:t>
            </w:r>
          </w:p>
        </w:tc>
        <w:tc>
          <w:tcPr>
            <w:tcW w:w="1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50,221</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(45,072)</w:t>
            </w:r>
          </w:p>
        </w:tc>
        <w:tc>
          <w:tcPr>
            <w:tcW w:w="1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5,149</w:t>
            </w:r>
          </w:p>
        </w:tc>
        <w:tc>
          <w:tcPr>
            <w:tcW w:w="100" w:type="dxa"/>
            <w:vAlign w:val="bottom"/>
            <w:shd w:val="clear" w:color="auto" w:fill="E4E4E4"/>
          </w:tcPr>
          <w:p>
            <w:pPr>
              <w:spacing w:after="0"/>
              <w:rPr>
                <w:sz w:val="19"/>
                <w:szCs w:val="19"/>
                <w:color w:val="auto"/>
              </w:rPr>
            </w:pPr>
          </w:p>
        </w:tc>
      </w:tr>
      <w:tr>
        <w:trPr>
          <w:trHeight w:val="220"/>
        </w:trPr>
        <w:tc>
          <w:tcPr>
            <w:tcW w:w="4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finite-lived intangible assets</w:t>
            </w:r>
          </w:p>
        </w:tc>
        <w:tc>
          <w:tcPr>
            <w:tcW w:w="140" w:type="dxa"/>
            <w:vAlign w:val="bottom"/>
          </w:tcPr>
          <w:p>
            <w:pPr>
              <w:spacing w:after="0"/>
              <w:rPr>
                <w:sz w:val="19"/>
                <w:szCs w:val="19"/>
                <w:color w:val="auto"/>
              </w:rPr>
            </w:pPr>
          </w:p>
        </w:tc>
        <w:tc>
          <w:tcPr>
            <w:tcW w:w="180" w:type="dxa"/>
            <w:vAlign w:val="bottom"/>
            <w:tcBorders>
              <w:top w:val="single" w:sz="8" w:color="1E1E1E"/>
            </w:tcBorders>
          </w:tcPr>
          <w:p>
            <w:pPr>
              <w:spacing w:after="0"/>
              <w:rPr>
                <w:sz w:val="19"/>
                <w:szCs w:val="19"/>
                <w:color w:val="auto"/>
              </w:rPr>
            </w:pPr>
          </w:p>
        </w:tc>
        <w:tc>
          <w:tcPr>
            <w:tcW w:w="104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574,927</w:t>
            </w:r>
          </w:p>
        </w:tc>
        <w:tc>
          <w:tcPr>
            <w:tcW w:w="220" w:type="dxa"/>
            <w:vAlign w:val="bottom"/>
          </w:tcPr>
          <w:p>
            <w:pPr>
              <w:spacing w:after="0"/>
              <w:rPr>
                <w:sz w:val="19"/>
                <w:szCs w:val="19"/>
                <w:color w:val="auto"/>
              </w:rPr>
            </w:pPr>
          </w:p>
        </w:tc>
        <w:tc>
          <w:tcPr>
            <w:tcW w:w="140" w:type="dxa"/>
            <w:vAlign w:val="bottom"/>
            <w:tcBorders>
              <w:top w:val="single" w:sz="8" w:color="1E1E1E"/>
            </w:tcBorders>
          </w:tcPr>
          <w:p>
            <w:pPr>
              <w:spacing w:after="0"/>
              <w:rPr>
                <w:sz w:val="19"/>
                <w:szCs w:val="19"/>
                <w:color w:val="auto"/>
              </w:rPr>
            </w:pPr>
          </w:p>
        </w:tc>
        <w:tc>
          <w:tcPr>
            <w:tcW w:w="11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(251,806)</w:t>
            </w:r>
          </w:p>
        </w:tc>
        <w:tc>
          <w:tcPr>
            <w:tcW w:w="240" w:type="dxa"/>
            <w:vAlign w:val="bottom"/>
          </w:tcPr>
          <w:p>
            <w:pPr>
              <w:spacing w:after="0"/>
              <w:rPr>
                <w:sz w:val="19"/>
                <w:szCs w:val="19"/>
                <w:color w:val="auto"/>
              </w:rPr>
            </w:pPr>
          </w:p>
        </w:tc>
        <w:tc>
          <w:tcPr>
            <w:tcW w:w="120" w:type="dxa"/>
            <w:vAlign w:val="bottom"/>
            <w:tcBorders>
              <w:top w:val="single" w:sz="8" w:color="1E1E1E"/>
            </w:tcBorders>
          </w:tcPr>
          <w:p>
            <w:pPr>
              <w:spacing w:after="0"/>
              <w:rPr>
                <w:sz w:val="19"/>
                <w:szCs w:val="19"/>
                <w:color w:val="auto"/>
              </w:rPr>
            </w:pPr>
          </w:p>
        </w:tc>
        <w:tc>
          <w:tcPr>
            <w:tcW w:w="11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323,121</w:t>
            </w:r>
          </w:p>
        </w:tc>
        <w:tc>
          <w:tcPr>
            <w:tcW w:w="100" w:type="dxa"/>
            <w:vAlign w:val="bottom"/>
          </w:tcPr>
          <w:p>
            <w:pPr>
              <w:spacing w:after="0"/>
              <w:rPr>
                <w:sz w:val="19"/>
                <w:szCs w:val="19"/>
                <w:color w:val="auto"/>
              </w:rPr>
            </w:pPr>
          </w:p>
        </w:tc>
      </w:tr>
      <w:tr>
        <w:trPr>
          <w:trHeight w:val="230"/>
        </w:trPr>
        <w:tc>
          <w:tcPr>
            <w:tcW w:w="4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Goodwill</w:t>
            </w:r>
          </w:p>
        </w:tc>
        <w:tc>
          <w:tcPr>
            <w:tcW w:w="1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1,075,080</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1,075,080</w:t>
            </w:r>
          </w:p>
        </w:tc>
        <w:tc>
          <w:tcPr>
            <w:tcW w:w="100" w:type="dxa"/>
            <w:vAlign w:val="bottom"/>
            <w:shd w:val="clear" w:color="auto" w:fill="E4E4E4"/>
          </w:tcPr>
          <w:p>
            <w:pPr>
              <w:spacing w:after="0"/>
              <w:rPr>
                <w:sz w:val="19"/>
                <w:szCs w:val="19"/>
                <w:color w:val="auto"/>
              </w:rPr>
            </w:pPr>
          </w:p>
        </w:tc>
      </w:tr>
      <w:tr>
        <w:trPr>
          <w:trHeight w:val="220"/>
        </w:trPr>
        <w:tc>
          <w:tcPr>
            <w:tcW w:w="4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goodwill and intangible assets</w:t>
            </w:r>
          </w:p>
        </w:tc>
        <w:tc>
          <w:tcPr>
            <w:tcW w:w="140" w:type="dxa"/>
            <w:vAlign w:val="bottom"/>
          </w:tcPr>
          <w:p>
            <w:pPr>
              <w:spacing w:after="0"/>
              <w:rPr>
                <w:sz w:val="19"/>
                <w:szCs w:val="19"/>
                <w:color w:val="auto"/>
              </w:rPr>
            </w:pPr>
          </w:p>
        </w:tc>
        <w:tc>
          <w:tcPr>
            <w:tcW w:w="1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1,650,007</w:t>
            </w:r>
          </w:p>
        </w:tc>
        <w:tc>
          <w:tcPr>
            <w:tcW w:w="220" w:type="dxa"/>
            <w:vAlign w:val="bottom"/>
          </w:tcPr>
          <w:p>
            <w:pPr>
              <w:spacing w:after="0"/>
              <w:rPr>
                <w:sz w:val="19"/>
                <w:szCs w:val="19"/>
                <w:color w:val="auto"/>
              </w:rPr>
            </w:pPr>
          </w:p>
        </w:tc>
        <w:tc>
          <w:tcPr>
            <w:tcW w:w="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(251,806)</w:t>
            </w:r>
          </w:p>
        </w:tc>
        <w:tc>
          <w:tcPr>
            <w:tcW w:w="240" w:type="dxa"/>
            <w:vAlign w:val="bottom"/>
          </w:tcPr>
          <w:p>
            <w:pPr>
              <w:spacing w:after="0"/>
              <w:rPr>
                <w:sz w:val="19"/>
                <w:szCs w:val="19"/>
                <w:color w:val="auto"/>
              </w:rPr>
            </w:pPr>
          </w:p>
        </w:tc>
        <w:tc>
          <w:tcPr>
            <w:tcW w:w="1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1,398,201</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spacing w:after="0"/>
              <w:rPr>
                <w:sz w:val="24"/>
                <w:szCs w:val="24"/>
                <w:color w:val="auto"/>
              </w:rPr>
            </w:pPr>
          </w:p>
        </w:tc>
        <w:tc>
          <w:tcPr>
            <w:tcW w:w="1700" w:type="dxa"/>
            <w:vAlign w:val="bottom"/>
            <w:tcBorders>
              <w:bottom w:val="single" w:sz="8" w:color="1E1E1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1E1E1E"/>
              </w:rPr>
              <w:t>December 31, 2022</w:t>
            </w:r>
          </w:p>
        </w:tc>
        <w:tc>
          <w:tcPr>
            <w:tcW w:w="12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6"/>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Gross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1E1E1E"/>
              </w:rPr>
              <w:t>Carrying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1E1E1E"/>
                <w:w w:val="99"/>
              </w:rPr>
              <w:t>Accumulated</w:t>
            </w:r>
          </w:p>
        </w:tc>
        <w:tc>
          <w:tcPr>
            <w:tcW w:w="120" w:type="dxa"/>
            <w:vAlign w:val="bottom"/>
          </w:tcPr>
          <w:p>
            <w:pPr>
              <w:spacing w:after="0"/>
              <w:rPr>
                <w:sz w:val="15"/>
                <w:szCs w:val="15"/>
                <w:color w:val="auto"/>
              </w:rPr>
            </w:pPr>
          </w:p>
        </w:tc>
        <w:tc>
          <w:tcPr>
            <w:tcW w:w="11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1E1E1E"/>
              </w:rPr>
              <w:t>Net Carrying</w:t>
            </w:r>
          </w:p>
        </w:tc>
        <w:tc>
          <w:tcPr>
            <w:tcW w:w="100" w:type="dxa"/>
            <w:vAlign w:val="bottom"/>
          </w:tcPr>
          <w:p>
            <w:pPr>
              <w:spacing w:after="0"/>
              <w:rPr>
                <w:sz w:val="15"/>
                <w:szCs w:val="15"/>
                <w:color w:val="auto"/>
              </w:rPr>
            </w:pPr>
          </w:p>
        </w:tc>
      </w:tr>
      <w:tr>
        <w:trPr>
          <w:trHeight w:val="204"/>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120" w:type="dxa"/>
            <w:vAlign w:val="bottom"/>
          </w:tcPr>
          <w:p>
            <w:pPr>
              <w:spacing w:after="0"/>
              <w:rPr>
                <w:sz w:val="17"/>
                <w:szCs w:val="17"/>
                <w:color w:val="auto"/>
              </w:rPr>
            </w:pPr>
          </w:p>
        </w:tc>
        <w:tc>
          <w:tcPr>
            <w:tcW w:w="11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00" w:type="dxa"/>
            <w:vAlign w:val="bottom"/>
          </w:tcPr>
          <w:p>
            <w:pPr>
              <w:spacing w:after="0"/>
              <w:rPr>
                <w:sz w:val="17"/>
                <w:szCs w:val="17"/>
                <w:color w:val="auto"/>
              </w:rPr>
            </w:pPr>
          </w:p>
        </w:tc>
      </w:tr>
      <w:tr>
        <w:trPr>
          <w:trHeight w:val="220"/>
        </w:trPr>
        <w:tc>
          <w:tcPr>
            <w:tcW w:w="482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Finite-lived intangible assets:</w:t>
            </w:r>
          </w:p>
        </w:tc>
        <w:tc>
          <w:tcPr>
            <w:tcW w:w="140" w:type="dxa"/>
            <w:vAlign w:val="bottom"/>
            <w:tcBorders>
              <w:top w:val="single" w:sz="8" w:color="E4E4E4"/>
            </w:tcBorders>
            <w:shd w:val="clear" w:color="auto" w:fill="E4E4E4"/>
          </w:tcPr>
          <w:p>
            <w:pPr>
              <w:spacing w:after="0"/>
              <w:rPr>
                <w:sz w:val="19"/>
                <w:szCs w:val="19"/>
                <w:color w:val="auto"/>
              </w:rPr>
            </w:pPr>
          </w:p>
        </w:tc>
        <w:tc>
          <w:tcPr>
            <w:tcW w:w="180" w:type="dxa"/>
            <w:vAlign w:val="bottom"/>
            <w:tcBorders>
              <w:top w:val="single" w:sz="8" w:color="1E1E1E"/>
            </w:tcBorders>
            <w:shd w:val="clear" w:color="auto" w:fill="E4E4E4"/>
          </w:tcPr>
          <w:p>
            <w:pPr>
              <w:spacing w:after="0"/>
              <w:rPr>
                <w:sz w:val="19"/>
                <w:szCs w:val="19"/>
                <w:color w:val="auto"/>
              </w:rPr>
            </w:pPr>
          </w:p>
        </w:tc>
        <w:tc>
          <w:tcPr>
            <w:tcW w:w="1040" w:type="dxa"/>
            <w:vAlign w:val="bottom"/>
            <w:tcBorders>
              <w:top w:val="single" w:sz="8" w:color="1E1E1E"/>
            </w:tcBorders>
            <w:shd w:val="clear" w:color="auto" w:fill="E4E4E4"/>
          </w:tcPr>
          <w:p>
            <w:pPr>
              <w:spacing w:after="0"/>
              <w:rPr>
                <w:sz w:val="19"/>
                <w:szCs w:val="19"/>
                <w:color w:val="auto"/>
              </w:rPr>
            </w:pPr>
          </w:p>
        </w:tc>
        <w:tc>
          <w:tcPr>
            <w:tcW w:w="220" w:type="dxa"/>
            <w:vAlign w:val="bottom"/>
            <w:tcBorders>
              <w:top w:val="single" w:sz="8" w:color="E4E4E4"/>
            </w:tcBorders>
            <w:shd w:val="clear" w:color="auto" w:fill="E4E4E4"/>
          </w:tcPr>
          <w:p>
            <w:pPr>
              <w:spacing w:after="0"/>
              <w:rPr>
                <w:sz w:val="19"/>
                <w:szCs w:val="19"/>
                <w:color w:val="auto"/>
              </w:rPr>
            </w:pPr>
          </w:p>
        </w:tc>
        <w:tc>
          <w:tcPr>
            <w:tcW w:w="140" w:type="dxa"/>
            <w:vAlign w:val="bottom"/>
            <w:tcBorders>
              <w:top w:val="single" w:sz="8" w:color="1E1E1E"/>
            </w:tcBorders>
            <w:shd w:val="clear" w:color="auto" w:fill="E4E4E4"/>
          </w:tcPr>
          <w:p>
            <w:pPr>
              <w:spacing w:after="0"/>
              <w:rPr>
                <w:sz w:val="19"/>
                <w:szCs w:val="19"/>
                <w:color w:val="auto"/>
              </w:rPr>
            </w:pPr>
          </w:p>
        </w:tc>
        <w:tc>
          <w:tcPr>
            <w:tcW w:w="110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1E1E1E"/>
            </w:tcBorders>
            <w:shd w:val="clear" w:color="auto" w:fill="E4E4E4"/>
          </w:tcPr>
          <w:p>
            <w:pPr>
              <w:spacing w:after="0"/>
              <w:rPr>
                <w:sz w:val="19"/>
                <w:szCs w:val="19"/>
                <w:color w:val="auto"/>
              </w:rPr>
            </w:pPr>
          </w:p>
        </w:tc>
        <w:tc>
          <w:tcPr>
            <w:tcW w:w="110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409,430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(128,745)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280,685</w:t>
            </w:r>
          </w:p>
        </w:tc>
        <w:tc>
          <w:tcPr>
            <w:tcW w:w="100" w:type="dxa"/>
            <w:vAlign w:val="bottom"/>
          </w:tcPr>
          <w:p>
            <w:pPr>
              <w:spacing w:after="0"/>
              <w:rPr>
                <w:sz w:val="19"/>
                <w:szCs w:val="19"/>
                <w:color w:val="auto"/>
              </w:rPr>
            </w:pPr>
          </w:p>
        </w:tc>
      </w:tr>
      <w:tr>
        <w:trPr>
          <w:trHeight w:val="230"/>
        </w:trPr>
        <w:tc>
          <w:tcPr>
            <w:tcW w:w="4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Developed technologies</w:t>
            </w:r>
          </w:p>
        </w:tc>
        <w:tc>
          <w:tcPr>
            <w:tcW w:w="1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56,965</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(25,514)</w:t>
            </w:r>
          </w:p>
        </w:tc>
        <w:tc>
          <w:tcPr>
            <w:tcW w:w="1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31,451</w:t>
            </w:r>
          </w:p>
        </w:tc>
        <w:tc>
          <w:tcPr>
            <w:tcW w:w="100" w:type="dxa"/>
            <w:vAlign w:val="bottom"/>
            <w:shd w:val="clear" w:color="auto" w:fill="E4E4E4"/>
          </w:tcPr>
          <w:p>
            <w:pPr>
              <w:spacing w:after="0"/>
              <w:rPr>
                <w:sz w:val="19"/>
                <w:szCs w:val="19"/>
                <w:color w:val="auto"/>
              </w:rPr>
            </w:pPr>
          </w:p>
        </w:tc>
      </w:tr>
      <w:tr>
        <w:trPr>
          <w:trHeight w:val="230"/>
        </w:trPr>
        <w:tc>
          <w:tcPr>
            <w:tcW w:w="482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Tradenames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35,914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(7,150)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28,764</w:t>
            </w:r>
          </w:p>
        </w:tc>
        <w:tc>
          <w:tcPr>
            <w:tcW w:w="100" w:type="dxa"/>
            <w:vAlign w:val="bottom"/>
          </w:tcPr>
          <w:p>
            <w:pPr>
              <w:spacing w:after="0"/>
              <w:rPr>
                <w:sz w:val="19"/>
                <w:szCs w:val="19"/>
                <w:color w:val="auto"/>
              </w:rPr>
            </w:pPr>
          </w:p>
        </w:tc>
      </w:tr>
      <w:tr>
        <w:trPr>
          <w:trHeight w:val="230"/>
        </w:trPr>
        <w:tc>
          <w:tcPr>
            <w:tcW w:w="4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Database</w:t>
            </w:r>
          </w:p>
        </w:tc>
        <w:tc>
          <w:tcPr>
            <w:tcW w:w="1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50,215</w:t>
            </w:r>
          </w:p>
        </w:tc>
        <w:tc>
          <w:tcPr>
            <w:tcW w:w="22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(40,393)</w:t>
            </w:r>
          </w:p>
        </w:tc>
        <w:tc>
          <w:tcPr>
            <w:tcW w:w="120" w:type="dxa"/>
            <w:vAlign w:val="bottom"/>
            <w:shd w:val="clear" w:color="auto" w:fill="E4E4E4"/>
          </w:tcPr>
          <w:p>
            <w:pPr>
              <w:spacing w:after="0"/>
              <w:rPr>
                <w:sz w:val="19"/>
                <w:szCs w:val="19"/>
                <w:color w:val="auto"/>
              </w:rPr>
            </w:pPr>
          </w:p>
        </w:tc>
        <w:tc>
          <w:tcPr>
            <w:tcW w:w="1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9,822</w:t>
            </w:r>
          </w:p>
        </w:tc>
        <w:tc>
          <w:tcPr>
            <w:tcW w:w="100" w:type="dxa"/>
            <w:vAlign w:val="bottom"/>
            <w:shd w:val="clear" w:color="auto" w:fill="E4E4E4"/>
          </w:tcPr>
          <w:p>
            <w:pPr>
              <w:spacing w:after="0"/>
              <w:rPr>
                <w:sz w:val="19"/>
                <w:szCs w:val="19"/>
                <w:color w:val="auto"/>
              </w:rPr>
            </w:pPr>
          </w:p>
        </w:tc>
      </w:tr>
      <w:tr>
        <w:trPr>
          <w:trHeight w:val="220"/>
        </w:trPr>
        <w:tc>
          <w:tcPr>
            <w:tcW w:w="4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finite-lived intangible assets</w:t>
            </w:r>
          </w:p>
        </w:tc>
        <w:tc>
          <w:tcPr>
            <w:tcW w:w="140" w:type="dxa"/>
            <w:vAlign w:val="bottom"/>
          </w:tcPr>
          <w:p>
            <w:pPr>
              <w:spacing w:after="0"/>
              <w:rPr>
                <w:sz w:val="19"/>
                <w:szCs w:val="19"/>
                <w:color w:val="auto"/>
              </w:rPr>
            </w:pPr>
          </w:p>
        </w:tc>
        <w:tc>
          <w:tcPr>
            <w:tcW w:w="180" w:type="dxa"/>
            <w:vAlign w:val="bottom"/>
            <w:tcBorders>
              <w:top w:val="single" w:sz="8" w:color="1E1E1E"/>
            </w:tcBorders>
          </w:tcPr>
          <w:p>
            <w:pPr>
              <w:spacing w:after="0"/>
              <w:rPr>
                <w:sz w:val="19"/>
                <w:szCs w:val="19"/>
                <w:color w:val="auto"/>
              </w:rPr>
            </w:pPr>
          </w:p>
        </w:tc>
        <w:tc>
          <w:tcPr>
            <w:tcW w:w="104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552,524</w:t>
            </w:r>
          </w:p>
        </w:tc>
        <w:tc>
          <w:tcPr>
            <w:tcW w:w="220" w:type="dxa"/>
            <w:vAlign w:val="bottom"/>
          </w:tcPr>
          <w:p>
            <w:pPr>
              <w:spacing w:after="0"/>
              <w:rPr>
                <w:sz w:val="19"/>
                <w:szCs w:val="19"/>
                <w:color w:val="auto"/>
              </w:rPr>
            </w:pPr>
          </w:p>
        </w:tc>
        <w:tc>
          <w:tcPr>
            <w:tcW w:w="140" w:type="dxa"/>
            <w:vAlign w:val="bottom"/>
            <w:tcBorders>
              <w:top w:val="single" w:sz="8" w:color="1E1E1E"/>
            </w:tcBorders>
          </w:tcPr>
          <w:p>
            <w:pPr>
              <w:spacing w:after="0"/>
              <w:rPr>
                <w:sz w:val="19"/>
                <w:szCs w:val="19"/>
                <w:color w:val="auto"/>
              </w:rPr>
            </w:pPr>
          </w:p>
        </w:tc>
        <w:tc>
          <w:tcPr>
            <w:tcW w:w="11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(201,802)</w:t>
            </w:r>
          </w:p>
        </w:tc>
        <w:tc>
          <w:tcPr>
            <w:tcW w:w="240" w:type="dxa"/>
            <w:vAlign w:val="bottom"/>
          </w:tcPr>
          <w:p>
            <w:pPr>
              <w:spacing w:after="0"/>
              <w:rPr>
                <w:sz w:val="19"/>
                <w:szCs w:val="19"/>
                <w:color w:val="auto"/>
              </w:rPr>
            </w:pPr>
          </w:p>
        </w:tc>
        <w:tc>
          <w:tcPr>
            <w:tcW w:w="120" w:type="dxa"/>
            <w:vAlign w:val="bottom"/>
            <w:tcBorders>
              <w:top w:val="single" w:sz="8" w:color="1E1E1E"/>
            </w:tcBorders>
          </w:tcPr>
          <w:p>
            <w:pPr>
              <w:spacing w:after="0"/>
              <w:rPr>
                <w:sz w:val="19"/>
                <w:szCs w:val="19"/>
                <w:color w:val="auto"/>
              </w:rPr>
            </w:pPr>
          </w:p>
        </w:tc>
        <w:tc>
          <w:tcPr>
            <w:tcW w:w="11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350,722</w:t>
            </w:r>
          </w:p>
        </w:tc>
        <w:tc>
          <w:tcPr>
            <w:tcW w:w="100" w:type="dxa"/>
            <w:vAlign w:val="bottom"/>
          </w:tcPr>
          <w:p>
            <w:pPr>
              <w:spacing w:after="0"/>
              <w:rPr>
                <w:sz w:val="19"/>
                <w:szCs w:val="19"/>
                <w:color w:val="auto"/>
              </w:rPr>
            </w:pPr>
          </w:p>
        </w:tc>
      </w:tr>
      <w:tr>
        <w:trPr>
          <w:trHeight w:val="230"/>
        </w:trPr>
        <w:tc>
          <w:tcPr>
            <w:tcW w:w="48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Goodwill</w:t>
            </w:r>
          </w:p>
        </w:tc>
        <w:tc>
          <w:tcPr>
            <w:tcW w:w="14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spacing w:after="0"/>
              <w:rPr>
                <w:sz w:val="19"/>
                <w:szCs w:val="19"/>
                <w:color w:val="auto"/>
              </w:rPr>
            </w:pPr>
          </w:p>
        </w:tc>
        <w:tc>
          <w:tcPr>
            <w:tcW w:w="10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1,324,733</w:t>
            </w:r>
          </w:p>
        </w:tc>
        <w:tc>
          <w:tcPr>
            <w:tcW w:w="220" w:type="dxa"/>
            <w:vAlign w:val="bottom"/>
            <w:shd w:val="clear" w:color="auto" w:fill="E4E4E4"/>
          </w:tcPr>
          <w:p>
            <w:pPr>
              <w:spacing w:after="0"/>
              <w:rPr>
                <w:sz w:val="19"/>
                <w:szCs w:val="19"/>
                <w:color w:val="auto"/>
              </w:rPr>
            </w:pPr>
          </w:p>
        </w:tc>
        <w:tc>
          <w:tcPr>
            <w:tcW w:w="14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spacing w:after="0"/>
              <w:rPr>
                <w:sz w:val="19"/>
                <w:szCs w:val="19"/>
                <w:color w:val="auto"/>
              </w:rPr>
            </w:pPr>
          </w:p>
        </w:tc>
        <w:tc>
          <w:tcPr>
            <w:tcW w:w="11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1,324,733</w:t>
            </w:r>
          </w:p>
        </w:tc>
        <w:tc>
          <w:tcPr>
            <w:tcW w:w="100" w:type="dxa"/>
            <w:vAlign w:val="bottom"/>
            <w:shd w:val="clear" w:color="auto" w:fill="E4E4E4"/>
          </w:tcPr>
          <w:p>
            <w:pPr>
              <w:spacing w:after="0"/>
              <w:rPr>
                <w:sz w:val="19"/>
                <w:szCs w:val="19"/>
                <w:color w:val="auto"/>
              </w:rPr>
            </w:pPr>
          </w:p>
        </w:tc>
      </w:tr>
      <w:tr>
        <w:trPr>
          <w:trHeight w:val="220"/>
        </w:trPr>
        <w:tc>
          <w:tcPr>
            <w:tcW w:w="48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Total goodwill and Intangible assets</w:t>
            </w:r>
          </w:p>
        </w:tc>
        <w:tc>
          <w:tcPr>
            <w:tcW w:w="140" w:type="dxa"/>
            <w:vAlign w:val="bottom"/>
          </w:tcPr>
          <w:p>
            <w:pPr>
              <w:spacing w:after="0"/>
              <w:rPr>
                <w:sz w:val="19"/>
                <w:szCs w:val="19"/>
                <w:color w:val="auto"/>
              </w:rPr>
            </w:pPr>
          </w:p>
        </w:tc>
        <w:tc>
          <w:tcPr>
            <w:tcW w:w="18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1,877,257</w:t>
            </w:r>
          </w:p>
        </w:tc>
        <w:tc>
          <w:tcPr>
            <w:tcW w:w="220" w:type="dxa"/>
            <w:vAlign w:val="bottom"/>
          </w:tcPr>
          <w:p>
            <w:pPr>
              <w:spacing w:after="0"/>
              <w:rPr>
                <w:sz w:val="19"/>
                <w:szCs w:val="19"/>
                <w:color w:val="auto"/>
              </w:rPr>
            </w:pPr>
          </w:p>
        </w:tc>
        <w:tc>
          <w:tcPr>
            <w:tcW w:w="1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(201,802)</w:t>
            </w:r>
          </w:p>
        </w:tc>
        <w:tc>
          <w:tcPr>
            <w:tcW w:w="240" w:type="dxa"/>
            <w:vAlign w:val="bottom"/>
          </w:tcPr>
          <w:p>
            <w:pPr>
              <w:spacing w:after="0"/>
              <w:rPr>
                <w:sz w:val="19"/>
                <w:szCs w:val="19"/>
                <w:color w:val="auto"/>
              </w:rPr>
            </w:pPr>
          </w:p>
        </w:tc>
        <w:tc>
          <w:tcPr>
            <w:tcW w:w="12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1,675,455</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120" w:firstLine="490"/>
        <w:spacing w:after="0" w:line="259" w:lineRule="auto"/>
        <w:rPr>
          <w:sz w:val="20"/>
          <w:szCs w:val="20"/>
          <w:color w:val="auto"/>
        </w:rPr>
      </w:pPr>
      <w:r>
        <w:rPr>
          <w:rFonts w:ascii="Times New Roman" w:cs="Times New Roman" w:eastAsia="Times New Roman" w:hAnsi="Times New Roman"/>
          <w:sz w:val="20"/>
          <w:szCs w:val="20"/>
          <w:color w:val="1E1E1E"/>
        </w:rPr>
        <w:t>Amortization expense associated with finite-lived intangible assets was $49.8 million, $54.7 million, and $58.2 million for the years ended December 31, 2023, 2022 and 2021, respectively, of which $12.7 million, $16.8 million and $21.3 million was included in cost of revenue for each respective period.</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Estimated total intangible amortization expense during the next five years and thereafter is as follows:</w:t>
      </w:r>
    </w:p>
    <w:p>
      <w:pPr>
        <w:spacing w:after="0" w:line="320"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70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0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2024</w:t>
            </w:r>
          </w:p>
        </w:tc>
        <w:tc>
          <w:tcPr>
            <w:tcW w:w="780" w:type="dxa"/>
            <w:vAlign w:val="bottom"/>
            <w:gridSpan w:val="2"/>
            <w:shd w:val="clear" w:color="auto" w:fill="E4E4E4"/>
          </w:tcPr>
          <w:p>
            <w:pPr>
              <w:jc w:val="right"/>
              <w:ind w:right="40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48,420</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1E1E1E"/>
              </w:rPr>
              <w:t>2025</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45,911</w:t>
            </w:r>
          </w:p>
        </w:tc>
      </w:tr>
      <w:tr>
        <w:trPr>
          <w:trHeight w:val="230"/>
        </w:trPr>
        <w:tc>
          <w:tcPr>
            <w:tcW w:w="70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2026</w:t>
            </w:r>
          </w:p>
        </w:tc>
        <w:tc>
          <w:tcPr>
            <w:tcW w:w="18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12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39,271</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1E1E1E"/>
              </w:rPr>
              <w:t>2027</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33,323</w:t>
            </w:r>
          </w:p>
        </w:tc>
      </w:tr>
      <w:tr>
        <w:trPr>
          <w:trHeight w:val="230"/>
        </w:trPr>
        <w:tc>
          <w:tcPr>
            <w:tcW w:w="70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2028</w:t>
            </w:r>
          </w:p>
        </w:tc>
        <w:tc>
          <w:tcPr>
            <w:tcW w:w="18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12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29,555</w:t>
            </w: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1E1E1E"/>
              </w:rPr>
              <w:t>Thereafter</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126,641</w:t>
            </w:r>
          </w:p>
        </w:tc>
      </w:tr>
      <w:tr>
        <w:trPr>
          <w:trHeight w:val="220"/>
        </w:trPr>
        <w:tc>
          <w:tcPr>
            <w:tcW w:w="70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80" w:type="dxa"/>
            <w:vAlign w:val="bottom"/>
            <w:tcBorders>
              <w:top w:val="single" w:sz="8" w:color="E4E4E4"/>
            </w:tcBorders>
            <w:shd w:val="clear" w:color="auto" w:fill="E4E4E4"/>
          </w:tcPr>
          <w:p>
            <w:pPr>
              <w:spacing w:after="0"/>
              <w:rPr>
                <w:sz w:val="19"/>
                <w:szCs w:val="19"/>
                <w:color w:val="auto"/>
              </w:rPr>
            </w:pPr>
          </w:p>
        </w:tc>
        <w:tc>
          <w:tcPr>
            <w:tcW w:w="600" w:type="dxa"/>
            <w:vAlign w:val="bottom"/>
            <w:tcBorders>
              <w:top w:val="single" w:sz="8" w:color="1E1E1E"/>
              <w:bottom w:val="single" w:sz="8" w:color="1E1E1E"/>
            </w:tcBorders>
            <w:shd w:val="clear" w:color="auto" w:fill="E4E4E4"/>
          </w:tcPr>
          <w:p>
            <w:pPr>
              <w:jc w:val="right"/>
              <w:ind w:right="4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323,121</w:t>
            </w:r>
          </w:p>
        </w:tc>
        <w:tc>
          <w:tcPr>
            <w:tcW w:w="100" w:type="dxa"/>
            <w:vAlign w:val="bottom"/>
            <w:tcBorders>
              <w:top w:val="single" w:sz="8" w:color="E4E4E4"/>
            </w:tcBorders>
            <w:shd w:val="clear" w:color="auto" w:fill="E4E4E4"/>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Company determined it had one reporting unit.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 Impairment</w:t>
      </w:r>
    </w:p>
    <w:p>
      <w:pPr>
        <w:spacing w:after="0" w:line="118" w:lineRule="exact"/>
        <w:rPr>
          <w:sz w:val="20"/>
          <w:szCs w:val="20"/>
          <w:color w:val="auto"/>
        </w:rPr>
      </w:pPr>
    </w:p>
    <w:p>
      <w:pPr>
        <w:ind w:right="260" w:firstLine="490"/>
        <w:spacing w:after="0" w:line="259" w:lineRule="auto"/>
        <w:rPr>
          <w:sz w:val="20"/>
          <w:szCs w:val="20"/>
          <w:color w:val="auto"/>
        </w:rPr>
      </w:pPr>
      <w:r>
        <w:rPr>
          <w:rFonts w:ascii="Times New Roman" w:cs="Times New Roman" w:eastAsia="Times New Roman" w:hAnsi="Times New Roman"/>
          <w:sz w:val="20"/>
          <w:szCs w:val="20"/>
          <w:color w:val="1E1E1E"/>
        </w:rPr>
        <w:t>Goodwill and acquired intangible assets are initially recorded at fair value and tested periodically for impairment. The Company performs an impairment test of goodwill during the fourth quarter of each fiscal year and more frequently if indicators of potential impairment arise.</w:t>
      </w:r>
    </w:p>
    <w:p>
      <w:pPr>
        <w:spacing w:after="0" w:line="65"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Though the Company traditionally performs its annual impairment assessment in the first month of the fourth quarter of each calendar year, during the quarter ended September 30, 2023, the Company experienced a sustained decline in its stock price and market capitalization, which represented a triggering event requiring management to perform a goodwill impairment test as of September 30, 2023. As a result of the Company’s quantitative impairment test, the Company determined that the fair value of its single reporting unit was lower than its carrying value and, accordingly, recorded a non-cash, pretax, goodwill impairment charge of $287.4 million. The goodwill impairment charge did not affect the Company’s liquidity or the financial covenants in its outstanding debt agreement.</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F-33</w:t>
      </w:r>
    </w:p>
    <w:p>
      <w:pPr>
        <w:sectPr>
          <w:pgSz w:w="11880" w:h="15480" w:orient="portrait"/>
          <w:cols w:equalWidth="0" w:num="1">
            <w:col w:w="10200"/>
          </w:cols>
          <w:pgMar w:left="820" w:top="803" w:right="860" w:bottom="0" w:gutter="0" w:footer="0" w:header="0"/>
        </w:sectPr>
      </w:pPr>
    </w:p>
    <w:bookmarkStart w:id="117" w:name="page118"/>
    <w:bookmarkEnd w:id="117"/>
    <w:p>
      <w:pPr>
        <w:ind w:right="120" w:firstLine="490"/>
        <w:spacing w:after="0" w:line="244" w:lineRule="auto"/>
        <w:rPr>
          <w:sz w:val="20"/>
          <w:szCs w:val="20"/>
          <w:color w:val="auto"/>
        </w:rPr>
      </w:pPr>
      <w:r>
        <w:rPr>
          <w:rFonts w:ascii="Times New Roman" w:cs="Times New Roman" w:eastAsia="Times New Roman" w:hAnsi="Times New Roman"/>
          <w:sz w:val="20"/>
          <w:szCs w:val="20"/>
          <w:color w:val="1E1E1E"/>
        </w:rPr>
        <w:t>In calculating the goodwill impairment charge, the Company estimated the fair value of its single reporting unit using a combination of an income and market approach. The income approach utilizes a discounted cash flow model associated with the business, including the amount and timing of future expected cash flows, tax attributes, technology and customer attrition rates, a terminal value growth rate, and an appropriate market-participant, risk-adjusted, weight average cost of capital in each case using estimates that the Company considered to be reasonable and appropriate. The market approach utilizes the Company's market capitalization, plus an appropriate control premium. Market capitalization is determined by multiplying the number of shares of Class A Common Stock outstanding by the market price of its Class A Common Stock. The control premium is determined by utilizing data from publicly available premium studies for similarly situated public company transactions. A goodwill impairment loss is recognized for the difference between the carrying value of the reporting unit and the fair value.</w:t>
      </w:r>
    </w:p>
    <w:p>
      <w:pPr>
        <w:spacing w:after="0" w:line="82"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During the quarter ended December 31, 2023, the Company performed a quantitative assessment and concluded that the fair value of its single reporting unit exceeded its carrying value as of December 31, 2023. The Company will continue to monitor for potential impairment should impairment indicators arise.</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As of December 31, 2023 and 2022, goodwill consisted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1E1E1E"/>
            </w:tcBorders>
          </w:tcPr>
          <w:p>
            <w:pPr>
              <w:spacing w:after="0"/>
              <w:rPr>
                <w:sz w:val="17"/>
                <w:szCs w:val="17"/>
                <w:color w:val="auto"/>
              </w:rPr>
            </w:pPr>
          </w:p>
        </w:tc>
        <w:tc>
          <w:tcPr>
            <w:tcW w:w="2980" w:type="dxa"/>
            <w:vAlign w:val="bottom"/>
            <w:tcBorders>
              <w:bottom w:val="single" w:sz="8" w:color="1E1E1E"/>
            </w:tcBorders>
            <w:gridSpan w:val="4"/>
          </w:tcPr>
          <w:p>
            <w:pPr>
              <w:jc w:val="right"/>
              <w:ind w:right="664"/>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0" w:type="dxa"/>
            <w:vAlign w:val="bottom"/>
          </w:tcPr>
          <w:p>
            <w:pPr>
              <w:spacing w:after="0"/>
              <w:rPr>
                <w:sz w:val="17"/>
                <w:szCs w:val="17"/>
                <w:color w:val="auto"/>
              </w:rPr>
            </w:pPr>
          </w:p>
        </w:tc>
      </w:tr>
      <w:tr>
        <w:trPr>
          <w:trHeight w:val="259"/>
        </w:trPr>
        <w:tc>
          <w:tcPr>
            <w:tcW w:w="66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22"/>
                <w:szCs w:val="22"/>
                <w:color w:val="auto"/>
              </w:rPr>
            </w:pPr>
          </w:p>
        </w:tc>
        <w:tc>
          <w:tcPr>
            <w:tcW w:w="360" w:type="dxa"/>
            <w:vAlign w:val="bottom"/>
            <w:tcBorders>
              <w:bottom w:val="single" w:sz="8" w:color="1E1E1E"/>
            </w:tcBorders>
          </w:tcPr>
          <w:p>
            <w:pPr>
              <w:spacing w:after="0"/>
              <w:rPr>
                <w:sz w:val="22"/>
                <w:szCs w:val="22"/>
                <w:color w:val="auto"/>
              </w:rPr>
            </w:pPr>
          </w:p>
        </w:tc>
        <w:tc>
          <w:tcPr>
            <w:tcW w:w="1200" w:type="dxa"/>
            <w:vAlign w:val="bottom"/>
            <w:tcBorders>
              <w:bottom w:val="single" w:sz="8" w:color="1E1E1E"/>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22"/>
                <w:szCs w:val="22"/>
                <w:color w:val="auto"/>
              </w:rPr>
            </w:pPr>
          </w:p>
        </w:tc>
      </w:tr>
      <w:tr>
        <w:trPr>
          <w:trHeight w:val="220"/>
        </w:trPr>
        <w:tc>
          <w:tcPr>
            <w:tcW w:w="66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Goodwill - beginning of year</w:t>
            </w:r>
          </w:p>
        </w:tc>
        <w:tc>
          <w:tcPr>
            <w:tcW w:w="160" w:type="dxa"/>
            <w:vAlign w:val="bottom"/>
            <w:shd w:val="clear" w:color="auto" w:fill="E4E4E4"/>
          </w:tcPr>
          <w:p>
            <w:pPr>
              <w:spacing w:after="0"/>
              <w:rPr>
                <w:sz w:val="19"/>
                <w:szCs w:val="19"/>
                <w:color w:val="auto"/>
              </w:rPr>
            </w:pPr>
          </w:p>
        </w:tc>
        <w:tc>
          <w:tcPr>
            <w:tcW w:w="340" w:type="dxa"/>
            <w:vAlign w:val="bottom"/>
            <w:shd w:val="clear" w:color="auto" w:fill="E4E4E4"/>
          </w:tcPr>
          <w:p>
            <w:pPr>
              <w:jc w:val="right"/>
              <w:ind w:right="1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1,324,733</w:t>
            </w:r>
          </w:p>
        </w:tc>
        <w:tc>
          <w:tcPr>
            <w:tcW w:w="260" w:type="dxa"/>
            <w:vAlign w:val="bottom"/>
            <w:shd w:val="clear" w:color="auto" w:fill="E4E4E4"/>
          </w:tcPr>
          <w:p>
            <w:pPr>
              <w:spacing w:after="0"/>
              <w:rPr>
                <w:sz w:val="19"/>
                <w:szCs w:val="19"/>
                <w:color w:val="auto"/>
              </w:rPr>
            </w:pPr>
          </w:p>
        </w:tc>
        <w:tc>
          <w:tcPr>
            <w:tcW w:w="360" w:type="dxa"/>
            <w:vAlign w:val="bottom"/>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1,263,075</w:t>
            </w:r>
          </w:p>
        </w:tc>
        <w:tc>
          <w:tcPr>
            <w:tcW w:w="100" w:type="dxa"/>
            <w:vAlign w:val="bottom"/>
            <w:shd w:val="clear" w:color="auto" w:fill="E4E4E4"/>
          </w:tcPr>
          <w:p>
            <w:pPr>
              <w:spacing w:after="0"/>
              <w:rPr>
                <w:sz w:val="19"/>
                <w:szCs w:val="19"/>
                <w:color w:val="auto"/>
              </w:rPr>
            </w:pPr>
          </w:p>
        </w:tc>
      </w:tr>
      <w:tr>
        <w:trPr>
          <w:trHeight w:val="230"/>
        </w:trPr>
        <w:tc>
          <w:tcPr>
            <w:tcW w:w="666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Goodwill acquired during year</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37,747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61,658</w:t>
            </w:r>
          </w:p>
        </w:tc>
        <w:tc>
          <w:tcPr>
            <w:tcW w:w="100" w:type="dxa"/>
            <w:vAlign w:val="bottom"/>
          </w:tcPr>
          <w:p>
            <w:pPr>
              <w:spacing w:after="0"/>
              <w:rPr>
                <w:sz w:val="19"/>
                <w:szCs w:val="19"/>
                <w:color w:val="auto"/>
              </w:rPr>
            </w:pPr>
          </w:p>
        </w:tc>
      </w:tr>
      <w:tr>
        <w:trPr>
          <w:trHeight w:val="230"/>
        </w:trPr>
        <w:tc>
          <w:tcPr>
            <w:tcW w:w="666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Goodwill impairment loss</w:t>
            </w:r>
          </w:p>
        </w:tc>
        <w:tc>
          <w:tcPr>
            <w:tcW w:w="16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142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(287,400)</w:t>
            </w:r>
          </w:p>
        </w:tc>
        <w:tc>
          <w:tcPr>
            <w:tcW w:w="36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r>
      <w:tr>
        <w:trPr>
          <w:trHeight w:val="220"/>
        </w:trPr>
        <w:tc>
          <w:tcPr>
            <w:tcW w:w="66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Goodwill - end of year</w:t>
            </w:r>
          </w:p>
        </w:tc>
        <w:tc>
          <w:tcPr>
            <w:tcW w:w="160" w:type="dxa"/>
            <w:vAlign w:val="bottom"/>
          </w:tcPr>
          <w:p>
            <w:pPr>
              <w:spacing w:after="0"/>
              <w:rPr>
                <w:sz w:val="19"/>
                <w:szCs w:val="19"/>
                <w:color w:val="auto"/>
              </w:rPr>
            </w:pPr>
          </w:p>
        </w:tc>
        <w:tc>
          <w:tcPr>
            <w:tcW w:w="340" w:type="dxa"/>
            <w:vAlign w:val="bottom"/>
            <w:tcBorders>
              <w:top w:val="single" w:sz="8" w:color="1E1E1E"/>
              <w:bottom w:val="single" w:sz="8" w:color="1E1E1E"/>
            </w:tcBorders>
          </w:tcPr>
          <w:p>
            <w:pPr>
              <w:jc w:val="right"/>
              <w:ind w:right="1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1,075,080</w:t>
            </w:r>
          </w:p>
        </w:tc>
        <w:tc>
          <w:tcPr>
            <w:tcW w:w="260" w:type="dxa"/>
            <w:vAlign w:val="bottom"/>
          </w:tcPr>
          <w:p>
            <w:pPr>
              <w:spacing w:after="0"/>
              <w:rPr>
                <w:sz w:val="19"/>
                <w:szCs w:val="19"/>
                <w:color w:val="auto"/>
              </w:rPr>
            </w:pPr>
          </w:p>
        </w:tc>
        <w:tc>
          <w:tcPr>
            <w:tcW w:w="360" w:type="dxa"/>
            <w:vAlign w:val="bottom"/>
            <w:tcBorders>
              <w:top w:val="single" w:sz="8" w:color="1E1E1E"/>
              <w:bottom w:val="single" w:sz="8" w:color="1E1E1E"/>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1,324,733</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The decline in the Company’s market capitalization driven by a sustained decrease in the Company’s stock price was considered to represent a triggering event and the Company’s intangible assets were reviewed for impairment. Based on quantitative and qualitative analyses performed, management concluded the assets were recoverable and no impairment charge was recorded.</w:t>
      </w:r>
    </w:p>
    <w:p>
      <w:pPr>
        <w:sectPr>
          <w:pgSz w:w="11880" w:h="15480" w:orient="portrait"/>
          <w:cols w:equalWidth="0" w:num="1">
            <w:col w:w="10240"/>
          </w:cols>
          <w:pgMar w:left="820" w:top="806"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F-34</w:t>
      </w:r>
    </w:p>
    <w:p>
      <w:pPr>
        <w:sectPr>
          <w:pgSz w:w="11880" w:h="15480" w:orient="portrait"/>
          <w:cols w:equalWidth="0" w:num="1">
            <w:col w:w="10240"/>
          </w:cols>
          <w:pgMar w:left="820" w:top="806" w:right="820" w:bottom="8" w:gutter="0" w:footer="0" w:header="0"/>
          <w:type w:val="continuous"/>
        </w:sectPr>
      </w:pPr>
    </w:p>
    <w:bookmarkStart w:id="118" w:name="page119"/>
    <w:bookmarkEnd w:id="118"/>
    <w:p>
      <w:pPr>
        <w:ind w:left="500" w:hanging="492"/>
        <w:spacing w:after="0"/>
        <w:tabs>
          <w:tab w:leader="none" w:pos="500" w:val="left"/>
        </w:tabs>
        <w:numPr>
          <w:ilvl w:val="0"/>
          <w:numId w:val="4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Long-Term Debt</w:t>
      </w:r>
    </w:p>
    <w:p>
      <w:pPr>
        <w:spacing w:after="0" w:line="123" w:lineRule="exact"/>
        <w:rPr>
          <w:rFonts w:ascii="Times New Roman" w:cs="Times New Roman" w:eastAsia="Times New Roman" w:hAnsi="Times New Roman"/>
          <w:sz w:val="20"/>
          <w:szCs w:val="20"/>
          <w:b w:val="1"/>
          <w:bCs w:val="1"/>
          <w:color w:val="1E1E1E"/>
        </w:rPr>
      </w:pPr>
    </w:p>
    <w:p>
      <w:pPr>
        <w:ind w:left="50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Long-term debt consisted of the following as of:</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800" w:type="dxa"/>
            <w:vAlign w:val="bottom"/>
            <w:tcBorders>
              <w:bottom w:val="single" w:sz="8" w:color="1E1E1E"/>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200" w:type="dxa"/>
            <w:vAlign w:val="bottom"/>
            <w:tcBorders>
              <w:bottom w:val="single" w:sz="8" w:color="1E1E1E"/>
            </w:tcBorders>
          </w:tcPr>
          <w:p>
            <w:pPr>
              <w:spacing w:after="0"/>
              <w:rPr>
                <w:sz w:val="17"/>
                <w:szCs w:val="17"/>
                <w:color w:val="auto"/>
              </w:rPr>
            </w:pPr>
          </w:p>
        </w:tc>
        <w:tc>
          <w:tcPr>
            <w:tcW w:w="108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Unamortized debt</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w w:val="99"/>
              </w:rPr>
              <w:t>issuance costs /</w:t>
            </w: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1E1E1E"/>
                <w:w w:val="99"/>
              </w:rPr>
              <w:t>Total debt,</w:t>
            </w:r>
          </w:p>
        </w:tc>
        <w:tc>
          <w:tcPr>
            <w:tcW w:w="0" w:type="dxa"/>
            <w:vAlign w:val="bottom"/>
          </w:tcPr>
          <w:p>
            <w:pPr>
              <w:spacing w:after="0"/>
              <w:rPr>
                <w:sz w:val="1"/>
                <w:szCs w:val="1"/>
                <w:color w:val="auto"/>
              </w:rPr>
            </w:pPr>
          </w:p>
        </w:tc>
      </w:tr>
      <w:tr>
        <w:trPr>
          <w:trHeight w:val="204"/>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1E1E1E"/>
              </w:rPr>
              <w:t>Principal</w:t>
            </w:r>
          </w:p>
        </w:tc>
        <w:tc>
          <w:tcPr>
            <w:tcW w:w="160" w:type="dxa"/>
            <w:vAlign w:val="bottom"/>
          </w:tcPr>
          <w:p>
            <w:pPr>
              <w:spacing w:after="0"/>
              <w:rPr>
                <w:sz w:val="17"/>
                <w:szCs w:val="17"/>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rPr>
              <w:t>financing costs</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1E1E1E"/>
              </w:rPr>
              <w:t>net</w:t>
            </w:r>
          </w:p>
        </w:tc>
        <w:tc>
          <w:tcPr>
            <w:tcW w:w="0" w:type="dxa"/>
            <w:vAlign w:val="bottom"/>
          </w:tcPr>
          <w:p>
            <w:pPr>
              <w:spacing w:after="0"/>
              <w:rPr>
                <w:sz w:val="1"/>
                <w:szCs w:val="1"/>
                <w:color w:val="auto"/>
              </w:rPr>
            </w:pPr>
          </w:p>
        </w:tc>
      </w:tr>
      <w:tr>
        <w:trPr>
          <w:trHeight w:val="220"/>
        </w:trPr>
        <w:tc>
          <w:tcPr>
            <w:tcW w:w="410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2021 Term Loan</w:t>
            </w:r>
          </w:p>
        </w:tc>
        <w:tc>
          <w:tcPr>
            <w:tcW w:w="12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257,813</w:t>
            </w:r>
          </w:p>
        </w:tc>
        <w:tc>
          <w:tcPr>
            <w:tcW w:w="22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(1,496)</w:t>
            </w:r>
          </w:p>
        </w:tc>
        <w:tc>
          <w:tcPr>
            <w:tcW w:w="240" w:type="dxa"/>
            <w:vAlign w:val="bottom"/>
            <w:tcBorders>
              <w:top w:val="single" w:sz="8" w:color="E4E4E4"/>
            </w:tcBorders>
            <w:shd w:val="clear" w:color="auto" w:fill="E4E4E4"/>
          </w:tcPr>
          <w:p>
            <w:pPr>
              <w:spacing w:after="0"/>
              <w:rPr>
                <w:sz w:val="19"/>
                <w:szCs w:val="19"/>
                <w:color w:val="auto"/>
              </w:rPr>
            </w:pPr>
          </w:p>
        </w:tc>
        <w:tc>
          <w:tcPr>
            <w:tcW w:w="2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256,317</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Less: current portion of long-term debt</w:t>
            </w:r>
          </w:p>
        </w:tc>
        <w:tc>
          <w:tcPr>
            <w:tcW w:w="120" w:type="dxa"/>
            <w:vAlign w:val="bottom"/>
            <w:tcBorders>
              <w:bottom w:val="single" w:sz="8" w:color="E4E4E4"/>
            </w:tcBorders>
          </w:tcPr>
          <w:p>
            <w:pPr>
              <w:spacing w:after="0"/>
              <w:rPr>
                <w:sz w:val="19"/>
                <w:szCs w:val="19"/>
                <w:color w:val="auto"/>
              </w:rPr>
            </w:pPr>
          </w:p>
        </w:tc>
        <w:tc>
          <w:tcPr>
            <w:tcW w:w="220" w:type="dxa"/>
            <w:vAlign w:val="bottom"/>
            <w:tcBorders>
              <w:bottom w:val="single" w:sz="8" w:color="E4E4E4"/>
            </w:tcBorders>
          </w:tcPr>
          <w:p>
            <w:pPr>
              <w:spacing w:after="0"/>
              <w:rPr>
                <w:sz w:val="19"/>
                <w:szCs w:val="19"/>
                <w:color w:val="auto"/>
              </w:rPr>
            </w:pPr>
          </w:p>
        </w:tc>
        <w:tc>
          <w:tcPr>
            <w:tcW w:w="1080" w:type="dxa"/>
            <w:vAlign w:val="bottom"/>
            <w:tcBorders>
              <w:bottom w:val="single" w:sz="8" w:color="E4E4E4"/>
            </w:tcBorders>
          </w:tcPr>
          <w:p>
            <w:pPr>
              <w:spacing w:after="0"/>
              <w:rPr>
                <w:sz w:val="19"/>
                <w:szCs w:val="19"/>
                <w:color w:val="auto"/>
              </w:rPr>
            </w:pPr>
          </w:p>
        </w:tc>
        <w:tc>
          <w:tcPr>
            <w:tcW w:w="220" w:type="dxa"/>
            <w:vAlign w:val="bottom"/>
            <w:tcBorders>
              <w:bottom w:val="single" w:sz="8" w:color="E4E4E4"/>
            </w:tcBorders>
          </w:tcPr>
          <w:p>
            <w:pPr>
              <w:spacing w:after="0"/>
              <w:rPr>
                <w:sz w:val="19"/>
                <w:szCs w:val="19"/>
                <w:color w:val="auto"/>
              </w:rPr>
            </w:pPr>
          </w:p>
        </w:tc>
        <w:tc>
          <w:tcPr>
            <w:tcW w:w="160" w:type="dxa"/>
            <w:vAlign w:val="bottom"/>
            <w:tcBorders>
              <w:bottom w:val="single" w:sz="8" w:color="E4E4E4"/>
            </w:tcBorders>
          </w:tcPr>
          <w:p>
            <w:pPr>
              <w:spacing w:after="0"/>
              <w:rPr>
                <w:sz w:val="19"/>
                <w:szCs w:val="19"/>
                <w:color w:val="auto"/>
              </w:rPr>
            </w:pPr>
          </w:p>
        </w:tc>
        <w:tc>
          <w:tcPr>
            <w:tcW w:w="1560" w:type="dxa"/>
            <w:vAlign w:val="bottom"/>
            <w:tcBorders>
              <w:bottom w:val="single" w:sz="8" w:color="E4E4E4"/>
            </w:tcBorders>
          </w:tcPr>
          <w:p>
            <w:pPr>
              <w:spacing w:after="0"/>
              <w:rPr>
                <w:sz w:val="19"/>
                <w:szCs w:val="19"/>
                <w:color w:val="auto"/>
              </w:rPr>
            </w:pPr>
          </w:p>
        </w:tc>
        <w:tc>
          <w:tcPr>
            <w:tcW w:w="240" w:type="dxa"/>
            <w:vAlign w:val="bottom"/>
            <w:tcBorders>
              <w:bottom w:val="single" w:sz="8" w:color="E4E4E4"/>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13,750</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Long-term debt</w:t>
            </w:r>
          </w:p>
        </w:tc>
        <w:tc>
          <w:tcPr>
            <w:tcW w:w="1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5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242,567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rPr>
              <w:t>December 31, 2022</w:t>
            </w:r>
          </w:p>
        </w:tc>
        <w:tc>
          <w:tcPr>
            <w:tcW w:w="2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1800" w:type="dxa"/>
            <w:vAlign w:val="bottom"/>
            <w:tcBorders>
              <w:bottom w:val="single" w:sz="8" w:color="1E1E1E"/>
            </w:tcBorders>
            <w:gridSpan w:val="2"/>
            <w:vMerge w:val="continue"/>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6"/>
                <w:szCs w:val="16"/>
                <w:b w:val="1"/>
                <w:bCs w:val="1"/>
                <w:color w:val="1E1E1E"/>
                <w:w w:val="99"/>
              </w:rPr>
              <w:t>Unamortized debt</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w w:val="99"/>
              </w:rPr>
              <w:t>issuance costs /</w:t>
            </w: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1E1E1E"/>
                <w:w w:val="99"/>
              </w:rPr>
              <w:t>Total debt,</w:t>
            </w:r>
          </w:p>
        </w:tc>
        <w:tc>
          <w:tcPr>
            <w:tcW w:w="0" w:type="dxa"/>
            <w:vAlign w:val="bottom"/>
          </w:tcPr>
          <w:p>
            <w:pPr>
              <w:spacing w:after="0"/>
              <w:rPr>
                <w:sz w:val="1"/>
                <w:szCs w:val="1"/>
                <w:color w:val="auto"/>
              </w:rPr>
            </w:pPr>
          </w:p>
        </w:tc>
      </w:tr>
      <w:tr>
        <w:trPr>
          <w:trHeight w:val="204"/>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1E1E1E"/>
              </w:rPr>
              <w:t>Principal</w:t>
            </w:r>
          </w:p>
        </w:tc>
        <w:tc>
          <w:tcPr>
            <w:tcW w:w="160" w:type="dxa"/>
            <w:vAlign w:val="bottom"/>
          </w:tcPr>
          <w:p>
            <w:pPr>
              <w:spacing w:after="0"/>
              <w:rPr>
                <w:sz w:val="17"/>
                <w:szCs w:val="17"/>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rPr>
              <w:t>financing costs</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1E1E1E"/>
              </w:rPr>
              <w:t>net</w:t>
            </w:r>
          </w:p>
        </w:tc>
        <w:tc>
          <w:tcPr>
            <w:tcW w:w="0" w:type="dxa"/>
            <w:vAlign w:val="bottom"/>
          </w:tcPr>
          <w:p>
            <w:pPr>
              <w:spacing w:after="0"/>
              <w:rPr>
                <w:sz w:val="1"/>
                <w:szCs w:val="1"/>
                <w:color w:val="auto"/>
              </w:rPr>
            </w:pPr>
          </w:p>
        </w:tc>
      </w:tr>
      <w:tr>
        <w:trPr>
          <w:trHeight w:val="220"/>
        </w:trPr>
        <w:tc>
          <w:tcPr>
            <w:tcW w:w="410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2021 Term Loan</w:t>
            </w:r>
          </w:p>
        </w:tc>
        <w:tc>
          <w:tcPr>
            <w:tcW w:w="12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266,406</w:t>
            </w:r>
          </w:p>
        </w:tc>
        <w:tc>
          <w:tcPr>
            <w:tcW w:w="22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(2,047)</w:t>
            </w:r>
          </w:p>
        </w:tc>
        <w:tc>
          <w:tcPr>
            <w:tcW w:w="240" w:type="dxa"/>
            <w:vAlign w:val="bottom"/>
            <w:tcBorders>
              <w:top w:val="single" w:sz="8" w:color="E4E4E4"/>
            </w:tcBorders>
            <w:shd w:val="clear" w:color="auto" w:fill="E4E4E4"/>
          </w:tcPr>
          <w:p>
            <w:pPr>
              <w:spacing w:after="0"/>
              <w:rPr>
                <w:sz w:val="19"/>
                <w:szCs w:val="19"/>
                <w:color w:val="auto"/>
              </w:rPr>
            </w:pPr>
          </w:p>
        </w:tc>
        <w:tc>
          <w:tcPr>
            <w:tcW w:w="2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264,359</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Less: current portion of long-term debt</w:t>
            </w:r>
          </w:p>
        </w:tc>
        <w:tc>
          <w:tcPr>
            <w:tcW w:w="120" w:type="dxa"/>
            <w:vAlign w:val="bottom"/>
            <w:tcBorders>
              <w:bottom w:val="single" w:sz="8" w:color="E4E4E4"/>
            </w:tcBorders>
          </w:tcPr>
          <w:p>
            <w:pPr>
              <w:spacing w:after="0"/>
              <w:rPr>
                <w:sz w:val="19"/>
                <w:szCs w:val="19"/>
                <w:color w:val="auto"/>
              </w:rPr>
            </w:pPr>
          </w:p>
        </w:tc>
        <w:tc>
          <w:tcPr>
            <w:tcW w:w="220" w:type="dxa"/>
            <w:vAlign w:val="bottom"/>
            <w:tcBorders>
              <w:bottom w:val="single" w:sz="8" w:color="E4E4E4"/>
            </w:tcBorders>
          </w:tcPr>
          <w:p>
            <w:pPr>
              <w:spacing w:after="0"/>
              <w:rPr>
                <w:sz w:val="19"/>
                <w:szCs w:val="19"/>
                <w:color w:val="auto"/>
              </w:rPr>
            </w:pPr>
          </w:p>
        </w:tc>
        <w:tc>
          <w:tcPr>
            <w:tcW w:w="1080" w:type="dxa"/>
            <w:vAlign w:val="bottom"/>
            <w:tcBorders>
              <w:bottom w:val="single" w:sz="8" w:color="E4E4E4"/>
            </w:tcBorders>
          </w:tcPr>
          <w:p>
            <w:pPr>
              <w:spacing w:after="0"/>
              <w:rPr>
                <w:sz w:val="19"/>
                <w:szCs w:val="19"/>
                <w:color w:val="auto"/>
              </w:rPr>
            </w:pPr>
          </w:p>
        </w:tc>
        <w:tc>
          <w:tcPr>
            <w:tcW w:w="220" w:type="dxa"/>
            <w:vAlign w:val="bottom"/>
            <w:tcBorders>
              <w:bottom w:val="single" w:sz="8" w:color="E4E4E4"/>
            </w:tcBorders>
          </w:tcPr>
          <w:p>
            <w:pPr>
              <w:spacing w:after="0"/>
              <w:rPr>
                <w:sz w:val="19"/>
                <w:szCs w:val="19"/>
                <w:color w:val="auto"/>
              </w:rPr>
            </w:pPr>
          </w:p>
        </w:tc>
        <w:tc>
          <w:tcPr>
            <w:tcW w:w="160" w:type="dxa"/>
            <w:vAlign w:val="bottom"/>
            <w:tcBorders>
              <w:bottom w:val="single" w:sz="8" w:color="E4E4E4"/>
            </w:tcBorders>
          </w:tcPr>
          <w:p>
            <w:pPr>
              <w:spacing w:after="0"/>
              <w:rPr>
                <w:sz w:val="19"/>
                <w:szCs w:val="19"/>
                <w:color w:val="auto"/>
              </w:rPr>
            </w:pPr>
          </w:p>
        </w:tc>
        <w:tc>
          <w:tcPr>
            <w:tcW w:w="1560" w:type="dxa"/>
            <w:vAlign w:val="bottom"/>
            <w:tcBorders>
              <w:bottom w:val="single" w:sz="8" w:color="E4E4E4"/>
            </w:tcBorders>
          </w:tcPr>
          <w:p>
            <w:pPr>
              <w:spacing w:after="0"/>
              <w:rPr>
                <w:sz w:val="19"/>
                <w:szCs w:val="19"/>
                <w:color w:val="auto"/>
              </w:rPr>
            </w:pPr>
          </w:p>
        </w:tc>
        <w:tc>
          <w:tcPr>
            <w:tcW w:w="240" w:type="dxa"/>
            <w:vAlign w:val="bottom"/>
            <w:tcBorders>
              <w:bottom w:val="single" w:sz="8" w:color="E4E4E4"/>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8,594</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Long-term debt</w:t>
            </w:r>
          </w:p>
        </w:tc>
        <w:tc>
          <w:tcPr>
            <w:tcW w:w="1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5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255,765</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During the years ended December 31, 2023 and 2022, the Company repaid $8.6 million and $6.9 million, respectively, in outstanding principal of the 2021 Term Loan (as defined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2021 Credit Agreement</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E1E1E"/>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8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E1E1E"/>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$257.8 million and $266.4 million outstanding on the 2021 Term Loan at December 31, 2023 and 2022. respectively.</w:t>
      </w:r>
    </w:p>
    <w:p>
      <w:pPr>
        <w:spacing w:after="0" w:line="8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E1E1E"/>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December 31, 2023 and 2022. During the quarter ended December 31, 2023, the lessor of the Company</w:t>
      </w:r>
      <w:r>
        <w:rPr>
          <w:rFonts w:ascii="Times New Roman" w:cs="Times New Roman" w:eastAsia="Times New Roman" w:hAnsi="Times New Roman"/>
          <w:sz w:val="18"/>
          <w:szCs w:val="18"/>
          <w:color w:val="1E1E1E"/>
        </w:rPr>
        <w:t>’</w:t>
      </w:r>
      <w:r>
        <w:rPr>
          <w:rFonts w:ascii="Times New Roman" w:cs="Times New Roman" w:eastAsia="Times New Roman" w:hAnsi="Times New Roman"/>
          <w:sz w:val="20"/>
          <w:szCs w:val="20"/>
          <w:color w:val="1E1E1E"/>
        </w:rPr>
        <w:t>s corporate headquarters transitioned from one entity to another. As a result, in lieu of a security deposit, the Company provided a standby letter of credit of $0.6 million, which reduced the amount available under our revolving credit facility to $74.4 million as of December 31, 2023.</w:t>
      </w:r>
    </w:p>
    <w:p>
      <w:pPr>
        <w:sectPr>
          <w:pgSz w:w="11880" w:h="15480" w:orient="portrait"/>
          <w:cols w:equalWidth="0" w:num="1">
            <w:col w:w="10200"/>
          </w:cols>
          <w:pgMar w:left="820" w:top="803" w:right="8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F-35</w:t>
      </w:r>
    </w:p>
    <w:p>
      <w:pPr>
        <w:sectPr>
          <w:pgSz w:w="11880" w:h="15480" w:orient="portrait"/>
          <w:cols w:equalWidth="0" w:num="1">
            <w:col w:w="10200"/>
          </w:cols>
          <w:pgMar w:left="820" w:top="803" w:right="860" w:bottom="8" w:gutter="0" w:footer="0" w:header="0"/>
          <w:type w:val="continuous"/>
        </w:sectPr>
      </w:pPr>
    </w:p>
    <w:bookmarkStart w:id="119" w:name="page120"/>
    <w:bookmarkEnd w:id="119"/>
    <w:p>
      <w:pPr>
        <w:ind w:firstLine="490"/>
        <w:spacing w:after="0" w:line="279" w:lineRule="auto"/>
        <w:rPr>
          <w:sz w:val="20"/>
          <w:szCs w:val="20"/>
          <w:color w:val="auto"/>
        </w:rPr>
      </w:pPr>
      <w:r>
        <w:rPr>
          <w:rFonts w:ascii="Times New Roman" w:cs="Times New Roman" w:eastAsia="Times New Roman" w:hAnsi="Times New Roman"/>
          <w:sz w:val="20"/>
          <w:szCs w:val="20"/>
          <w:color w:val="1E1E1E"/>
        </w:rPr>
        <w:t>On October 31, 2022, the Company amended the 2021 Credit Agreement to replace the LIBO rate with Term SOFR plus an applicable rate.</w:t>
      </w:r>
    </w:p>
    <w:p>
      <w:pPr>
        <w:spacing w:after="0" w:line="45"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1E1E1E"/>
        </w:rPr>
        <w:t>For both the 2021 Term Loan and 2021 Revolving Line of Credit, DH Holdings may elect from several interest rate options based on the Term SOFR Rate or the Base Rate plus an applicable margin. The applicable margin is based on the total leverage ratio. As of December 31, 2023, the effective interest rate was 7.21%.</w:t>
      </w:r>
    </w:p>
    <w:p>
      <w:pPr>
        <w:spacing w:after="0" w:line="65"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In connection with the 2021 Credit Agreement, the Company capitalized financing costs totaling $3.5 million, of which $2.8 million related to the 2021 Term Loan facility and $0.8 million related to the 2021 Revolving Line of Credit. The financing costs associated with the 2021 Term Loan facility are recorded as a contra-debt balance in Term loan, net of current portion in the consolidated balance sheets and are amortized over the remaining life of the loan using the effective interest method. The financing costs associated with the 2021 Revolving Line of Credit are recorded in other assets in the consolidated balance sheets and are amortized over the life of the arrangement. The Company amortized capitalized financing costs for the 2021 Credit Agreement through interest expense of $0.7 million for each of the years ended December 31, 2023 and 2022. At December 31, 2023 and 2022, the unamortized financing costs for the 2021 Revolving Line of Credit were $0.4 million and $0.6 million, respectively.</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expected future principal payments as of December 31, 2023 are as follows:</w:t>
      </w:r>
    </w:p>
    <w:p>
      <w:pPr>
        <w:spacing w:after="0" w:line="330" w:lineRule="exact"/>
        <w:rPr>
          <w:sz w:val="20"/>
          <w:szCs w:val="20"/>
          <w:color w:val="auto"/>
        </w:rPr>
      </w:pPr>
    </w:p>
    <w:tbl>
      <w:tblPr>
        <w:tblLayout w:type="fixed"/>
        <w:tblInd w:w="520" w:type="dxa"/>
        <w:tblCellMar>
          <w:top w:w="0" w:type="dxa"/>
          <w:left w:w="0" w:type="dxa"/>
          <w:bottom w:w="0" w:type="dxa"/>
          <w:right w:w="0" w:type="dxa"/>
        </w:tblCellMar>
      </w:tblPr>
      <w:tr>
        <w:trPr>
          <w:trHeight w:val="200"/>
        </w:trPr>
        <w:tc>
          <w:tcPr>
            <w:tcW w:w="7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2024</w:t>
            </w:r>
          </w:p>
        </w:tc>
        <w:tc>
          <w:tcPr>
            <w:tcW w:w="680" w:type="dxa"/>
            <w:vAlign w:val="bottom"/>
            <w:gridSpan w:val="2"/>
            <w:shd w:val="clear" w:color="auto" w:fill="E4E4E4"/>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13,750</w:t>
            </w:r>
          </w:p>
        </w:tc>
        <w:tc>
          <w:tcPr>
            <w:tcW w:w="100" w:type="dxa"/>
            <w:vAlign w:val="bottom"/>
            <w:shd w:val="clear" w:color="auto" w:fill="E4E4E4"/>
          </w:tcPr>
          <w:p>
            <w:pPr>
              <w:spacing w:after="0"/>
              <w:rPr>
                <w:sz w:val="19"/>
                <w:szCs w:val="19"/>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1E1E1E"/>
              </w:rPr>
              <w:t>2025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13,750</w:t>
            </w:r>
          </w:p>
        </w:tc>
        <w:tc>
          <w:tcPr>
            <w:tcW w:w="100" w:type="dxa"/>
            <w:vAlign w:val="bottom"/>
          </w:tcPr>
          <w:p>
            <w:pPr>
              <w:spacing w:after="0"/>
              <w:rPr>
                <w:sz w:val="19"/>
                <w:szCs w:val="19"/>
                <w:color w:val="auto"/>
              </w:rPr>
            </w:pPr>
          </w:p>
        </w:tc>
      </w:tr>
      <w:tr>
        <w:trPr>
          <w:trHeight w:val="230"/>
        </w:trPr>
        <w:tc>
          <w:tcPr>
            <w:tcW w:w="73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2026</w:t>
            </w:r>
          </w:p>
        </w:tc>
        <w:tc>
          <w:tcPr>
            <w:tcW w:w="180" w:type="dxa"/>
            <w:vAlign w:val="bottom"/>
            <w:shd w:val="clear" w:color="auto" w:fill="E4E4E4"/>
          </w:tcPr>
          <w:p>
            <w:pPr>
              <w:spacing w:after="0"/>
              <w:rPr>
                <w:sz w:val="19"/>
                <w:szCs w:val="19"/>
                <w:color w:val="auto"/>
              </w:rPr>
            </w:pPr>
          </w:p>
        </w:tc>
        <w:tc>
          <w:tcPr>
            <w:tcW w:w="500" w:type="dxa"/>
            <w:vAlign w:val="bottom"/>
            <w:tcBorders>
              <w:bottom w:val="single" w:sz="8" w:color="1E1E1E"/>
            </w:tcBorders>
            <w:shd w:val="clear" w:color="auto" w:fill="E4E4E4"/>
          </w:tcPr>
          <w:p>
            <w:pPr>
              <w:spacing w:after="0"/>
              <w:rPr>
                <w:sz w:val="19"/>
                <w:szCs w:val="19"/>
                <w:color w:val="auto"/>
              </w:rPr>
            </w:pPr>
          </w:p>
        </w:tc>
        <w:tc>
          <w:tcPr>
            <w:tcW w:w="10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230,313</w:t>
            </w:r>
          </w:p>
        </w:tc>
        <w:tc>
          <w:tcPr>
            <w:tcW w:w="100" w:type="dxa"/>
            <w:vAlign w:val="bottom"/>
            <w:shd w:val="clear" w:color="auto" w:fill="E4E4E4"/>
          </w:tcPr>
          <w:p>
            <w:pPr>
              <w:spacing w:after="0"/>
              <w:rPr>
                <w:sz w:val="19"/>
                <w:szCs w:val="19"/>
                <w:color w:val="auto"/>
              </w:rPr>
            </w:pPr>
          </w:p>
        </w:tc>
      </w:tr>
      <w:tr>
        <w:trPr>
          <w:trHeight w:val="220"/>
        </w:trPr>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1E1E1E"/>
            </w:tcBorders>
          </w:tcPr>
          <w:p>
            <w:pPr>
              <w:jc w:val="right"/>
              <w:ind w:right="3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257,813</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80"/>
          </w:cols>
          <w:pgMar w:left="820" w:top="806" w:right="8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F-36</w:t>
      </w:r>
    </w:p>
    <w:p>
      <w:pPr>
        <w:sectPr>
          <w:pgSz w:w="11880" w:h="15480" w:orient="portrait"/>
          <w:cols w:equalWidth="0" w:num="1">
            <w:col w:w="10180"/>
          </w:cols>
          <w:pgMar w:left="820" w:top="806" w:right="880" w:bottom="8" w:gutter="0" w:footer="0" w:header="0"/>
          <w:type w:val="continuous"/>
        </w:sectPr>
      </w:pPr>
    </w:p>
    <w:bookmarkStart w:id="120" w:name="page121"/>
    <w:bookmarkEnd w:id="120"/>
    <w:p>
      <w:pPr>
        <w:ind w:right="5760" w:firstLine="8"/>
        <w:spacing w:after="0" w:line="366" w:lineRule="auto"/>
        <w:tabs>
          <w:tab w:leader="none" w:pos="490" w:val="left"/>
        </w:tabs>
        <w:numPr>
          <w:ilvl w:val="0"/>
          <w:numId w:val="4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 xml:space="preserve">Derivative Instruments and Hedging Activities </w:t>
      </w:r>
      <w:r>
        <w:rPr>
          <w:rFonts w:ascii="Times New Roman" w:cs="Times New Roman" w:eastAsia="Times New Roman" w:hAnsi="Times New Roman"/>
          <w:sz w:val="20"/>
          <w:szCs w:val="20"/>
          <w:b w:val="1"/>
          <w:bCs w:val="1"/>
          <w:i w:val="1"/>
          <w:iCs w:val="1"/>
          <w:color w:val="1E1E1E"/>
        </w:rPr>
        <w:t>Risk Management Objective of Using Derivatives</w:t>
      </w:r>
    </w:p>
    <w:p>
      <w:pPr>
        <w:spacing w:after="0" w:line="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E1E1E"/>
        </w:rPr>
        <w:t xml:space="preserve">The Company is exposed to risks from changes in interest rates related to the 2021 Term Loan (See Note 10. </w:t>
      </w:r>
      <w:r>
        <w:rPr>
          <w:rFonts w:ascii="Times New Roman" w:cs="Times New Roman" w:eastAsia="Times New Roman" w:hAnsi="Times New Roman"/>
          <w:sz w:val="20"/>
          <w:szCs w:val="20"/>
          <w:i w:val="1"/>
          <w:iCs w:val="1"/>
          <w:color w:val="1E1E1E"/>
        </w:rPr>
        <w:t>Long-Term</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Debt</w:t>
      </w:r>
      <w:r>
        <w:rPr>
          <w:rFonts w:ascii="Times New Roman" w:cs="Times New Roman" w:eastAsia="Times New Roman" w:hAnsi="Times New Roman"/>
          <w:sz w:val="20"/>
          <w:szCs w:val="20"/>
          <w:color w:val="1E1E1E"/>
        </w:rPr>
        <w:t>). The Company uses derivative financial instruments, specifically, interest rate swap contracts, in order to manage its</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Flow Hedges of Interest Rate Risk</w:t>
      </w:r>
    </w:p>
    <w:p>
      <w:pPr>
        <w:spacing w:after="0" w:line="118" w:lineRule="exact"/>
        <w:rPr>
          <w:sz w:val="20"/>
          <w:szCs w:val="20"/>
          <w:color w:val="auto"/>
        </w:rPr>
      </w:pPr>
    </w:p>
    <w:p>
      <w:pPr>
        <w:ind w:right="20" w:firstLine="650"/>
        <w:spacing w:after="0" w:line="247" w:lineRule="auto"/>
        <w:rPr>
          <w:sz w:val="20"/>
          <w:szCs w:val="20"/>
          <w:color w:val="auto"/>
        </w:rPr>
      </w:pPr>
      <w:r>
        <w:rPr>
          <w:rFonts w:ascii="Times New Roman" w:cs="Times New Roman" w:eastAsia="Times New Roman" w:hAnsi="Times New Roman"/>
          <w:sz w:val="20"/>
          <w:szCs w:val="20"/>
          <w:color w:val="1E1E1E"/>
        </w:rPr>
        <w:t xml:space="preserve">The Company entered into two 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10. </w:t>
      </w:r>
      <w:r>
        <w:rPr>
          <w:rFonts w:ascii="Times New Roman" w:cs="Times New Roman" w:eastAsia="Times New Roman" w:hAnsi="Times New Roman"/>
          <w:sz w:val="20"/>
          <w:szCs w:val="20"/>
          <w:i w:val="1"/>
          <w:iCs w:val="1"/>
          <w:color w:val="1E1E1E"/>
        </w:rPr>
        <w:t>Long-Term Debt</w:t>
      </w:r>
      <w:r>
        <w:rPr>
          <w:rFonts w:ascii="Times New Roman" w:cs="Times New Roman" w:eastAsia="Times New Roman" w:hAnsi="Times New Roman"/>
          <w:sz w:val="20"/>
          <w:szCs w:val="20"/>
          <w:color w:val="1E1E1E"/>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8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As of December 31, 2023, the two outstanding interest rate swap agreements each had a notional value of $64.5 million with fixed interest rates of 1.90650% and 1.90900%. Interest payments under the swaps are made monthly on a net settlement basis. The Company has not recorded any amounts due to ineffectiveness for the year ended December 31, 2023. The notional value of each interest rate swap agreement is expected to match the corresponding principal amount of a portion of our borrowings under the 2021 Term Loan. The swap agreements mature on March 31, 2025.</w:t>
      </w:r>
    </w:p>
    <w:p>
      <w:pPr>
        <w:spacing w:after="0" w:line="7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E1E1E"/>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$3.4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fair values of the interest rate swaps and their respective locations in our consolidated balance sheets at</w:t>
      </w:r>
    </w:p>
    <w:p>
      <w:pPr>
        <w:spacing w:after="0"/>
        <w:rPr>
          <w:sz w:val="20"/>
          <w:szCs w:val="20"/>
          <w:color w:val="auto"/>
        </w:rPr>
      </w:pPr>
      <w:r>
        <w:rPr>
          <w:rFonts w:ascii="Times New Roman" w:cs="Times New Roman" w:eastAsia="Times New Roman" w:hAnsi="Times New Roman"/>
          <w:sz w:val="20"/>
          <w:szCs w:val="20"/>
          <w:color w:val="1E1E1E"/>
        </w:rPr>
        <w:t>December 31, 2023 and 2022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2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24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Description</w:t>
            </w:r>
          </w:p>
        </w:tc>
        <w:tc>
          <w:tcPr>
            <w:tcW w:w="200" w:type="dxa"/>
            <w:vAlign w:val="bottom"/>
            <w:tcBorders>
              <w:bottom w:val="single" w:sz="8" w:color="E4E4E4"/>
            </w:tcBorders>
          </w:tcPr>
          <w:p>
            <w:pPr>
              <w:spacing w:after="0"/>
              <w:rPr>
                <w:sz w:val="17"/>
                <w:szCs w:val="17"/>
                <w:color w:val="auto"/>
              </w:rPr>
            </w:pPr>
          </w:p>
        </w:tc>
        <w:tc>
          <w:tcPr>
            <w:tcW w:w="370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16"/>
                <w:szCs w:val="16"/>
                <w:b w:val="1"/>
                <w:bCs w:val="1"/>
                <w:color w:val="1E1E1E"/>
              </w:rPr>
              <w:t>Balance Sheet Location</w:t>
            </w:r>
          </w:p>
        </w:tc>
        <w:tc>
          <w:tcPr>
            <w:tcW w:w="180" w:type="dxa"/>
            <w:vAlign w:val="bottom"/>
            <w:tcBorders>
              <w:bottom w:val="single" w:sz="8" w:color="E4E4E4"/>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520" w:type="dxa"/>
            <w:vAlign w:val="bottom"/>
            <w:tcBorders>
              <w:bottom w:val="single" w:sz="8" w:color="1E1E1E"/>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300" w:type="dxa"/>
            <w:vAlign w:val="bottom"/>
            <w:tcBorders>
              <w:bottom w:val="single" w:sz="8" w:color="E4E4E4"/>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520" w:type="dxa"/>
            <w:vAlign w:val="bottom"/>
            <w:tcBorders>
              <w:bottom w:val="single" w:sz="8" w:color="1E1E1E"/>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1E1E1E"/>
              </w:rPr>
              <w:t>December 31, 2022</w:t>
            </w:r>
          </w:p>
        </w:tc>
        <w:tc>
          <w:tcPr>
            <w:tcW w:w="100" w:type="dxa"/>
            <w:vAlign w:val="bottom"/>
            <w:tcBorders>
              <w:bottom w:val="single" w:sz="8" w:color="E4E4E4"/>
            </w:tcBorders>
          </w:tcPr>
          <w:p>
            <w:pPr>
              <w:spacing w:after="0"/>
              <w:rPr>
                <w:sz w:val="17"/>
                <w:szCs w:val="17"/>
                <w:color w:val="auto"/>
              </w:rPr>
            </w:pPr>
          </w:p>
        </w:tc>
      </w:tr>
      <w:tr>
        <w:trPr>
          <w:trHeight w:val="220"/>
        </w:trPr>
        <w:tc>
          <w:tcPr>
            <w:tcW w:w="24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Short-term derivative asset</w:t>
            </w:r>
          </w:p>
        </w:tc>
        <w:tc>
          <w:tcPr>
            <w:tcW w:w="200" w:type="dxa"/>
            <w:vAlign w:val="bottom"/>
            <w:shd w:val="clear" w:color="auto" w:fill="E4E4E4"/>
          </w:tcPr>
          <w:p>
            <w:pPr>
              <w:spacing w:after="0"/>
              <w:rPr>
                <w:sz w:val="19"/>
                <w:szCs w:val="19"/>
                <w:color w:val="auto"/>
              </w:rPr>
            </w:pPr>
          </w:p>
        </w:tc>
        <w:tc>
          <w:tcPr>
            <w:tcW w:w="37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180" w:type="dxa"/>
            <w:vAlign w:val="bottom"/>
            <w:shd w:val="clear" w:color="auto" w:fill="E4E4E4"/>
          </w:tcPr>
          <w:p>
            <w:pPr>
              <w:spacing w:after="0"/>
              <w:rPr>
                <w:sz w:val="19"/>
                <w:szCs w:val="19"/>
                <w:color w:val="auto"/>
              </w:rPr>
            </w:pPr>
          </w:p>
        </w:tc>
        <w:tc>
          <w:tcPr>
            <w:tcW w:w="1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3,426</w:t>
            </w:r>
          </w:p>
        </w:tc>
        <w:tc>
          <w:tcPr>
            <w:tcW w:w="300" w:type="dxa"/>
            <w:vAlign w:val="bottom"/>
            <w:shd w:val="clear" w:color="auto" w:fill="E4E4E4"/>
          </w:tcPr>
          <w:p>
            <w:pPr>
              <w:spacing w:after="0"/>
              <w:rPr>
                <w:sz w:val="19"/>
                <w:szCs w:val="19"/>
                <w:color w:val="auto"/>
              </w:rPr>
            </w:pPr>
          </w:p>
        </w:tc>
        <w:tc>
          <w:tcPr>
            <w:tcW w:w="1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3,716</w:t>
            </w:r>
          </w:p>
        </w:tc>
        <w:tc>
          <w:tcPr>
            <w:tcW w:w="100" w:type="dxa"/>
            <w:vAlign w:val="bottom"/>
            <w:shd w:val="clear" w:color="auto" w:fill="E4E4E4"/>
          </w:tcPr>
          <w:p>
            <w:pPr>
              <w:spacing w:after="0"/>
              <w:rPr>
                <w:sz w:val="19"/>
                <w:szCs w:val="19"/>
                <w:color w:val="auto"/>
              </w:rPr>
            </w:pPr>
          </w:p>
        </w:tc>
      </w:tr>
      <w:tr>
        <w:trPr>
          <w:trHeight w:val="268"/>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1E1E1E"/>
              </w:rPr>
              <w:t>Long-term derivative asset</w:t>
            </w:r>
          </w:p>
        </w:tc>
        <w:tc>
          <w:tcPr>
            <w:tcW w:w="200" w:type="dxa"/>
            <w:vAlign w:val="bottom"/>
          </w:tcPr>
          <w:p>
            <w:pPr>
              <w:spacing w:after="0"/>
              <w:rPr>
                <w:sz w:val="23"/>
                <w:szCs w:val="23"/>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20"/>
                <w:szCs w:val="20"/>
                <w:color w:val="1E1E1E"/>
              </w:rPr>
              <w:t>Other assets</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509</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2,834</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240"/>
          </w:cols>
          <w:pgMar w:left="820" w:top="803"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F-37</w:t>
      </w:r>
    </w:p>
    <w:p>
      <w:pPr>
        <w:sectPr>
          <w:pgSz w:w="11880" w:h="15480" w:orient="portrait"/>
          <w:cols w:equalWidth="0" w:num="1">
            <w:col w:w="10240"/>
          </w:cols>
          <w:pgMar w:left="820" w:top="803" w:right="820" w:bottom="8" w:gutter="0" w:footer="0" w:header="0"/>
          <w:type w:val="continuous"/>
        </w:sectPr>
      </w:pPr>
    </w:p>
    <w:bookmarkStart w:id="121" w:name="page122"/>
    <w:bookmarkEnd w:id="121"/>
    <w:p>
      <w:pPr>
        <w:ind w:left="500" w:hanging="492"/>
        <w:spacing w:after="0"/>
        <w:tabs>
          <w:tab w:leader="none" w:pos="500" w:val="left"/>
        </w:tabs>
        <w:numPr>
          <w:ilvl w:val="0"/>
          <w:numId w:val="4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Fair Value Measurements</w:t>
      </w:r>
    </w:p>
    <w:p>
      <w:pPr>
        <w:spacing w:after="0" w:line="123"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1E1E1E"/>
        </w:rPr>
        <w:t>ASC 820—</w:t>
      </w:r>
      <w:r>
        <w:rPr>
          <w:rFonts w:ascii="Times New Roman" w:cs="Times New Roman" w:eastAsia="Times New Roman" w:hAnsi="Times New Roman"/>
          <w:sz w:val="20"/>
          <w:szCs w:val="20"/>
          <w:i w:val="1"/>
          <w:iCs w:val="1"/>
          <w:color w:val="1E1E1E"/>
        </w:rPr>
        <w:t>Fair Value Measurements and Disclosures</w:t>
      </w:r>
      <w:r>
        <w:rPr>
          <w:rFonts w:ascii="Times New Roman" w:cs="Times New Roman" w:eastAsia="Times New Roman" w:hAnsi="Times New Roman"/>
          <w:sz w:val="20"/>
          <w:szCs w:val="20"/>
          <w:color w:val="1E1E1E"/>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Level 1 - Observable inputs that reflect unadjusted quoted prices in active markets for identical assets or liabilities.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Level 2 - Other inputs that are directly or indirectly observable in the marketplace.</w:t>
      </w:r>
    </w:p>
    <w:p>
      <w:pPr>
        <w:spacing w:after="0" w:line="120" w:lineRule="exact"/>
        <w:rPr>
          <w:sz w:val="20"/>
          <w:szCs w:val="20"/>
          <w:color w:val="auto"/>
        </w:rPr>
      </w:pPr>
    </w:p>
    <w:p>
      <w:pPr>
        <w:ind w:left="500" w:right="940"/>
        <w:spacing w:after="0" w:line="279" w:lineRule="auto"/>
        <w:rPr>
          <w:sz w:val="20"/>
          <w:szCs w:val="20"/>
          <w:color w:val="auto"/>
        </w:rPr>
      </w:pPr>
      <w:r>
        <w:rPr>
          <w:rFonts w:ascii="Times New Roman" w:cs="Times New Roman" w:eastAsia="Times New Roman" w:hAnsi="Times New Roman"/>
          <w:sz w:val="20"/>
          <w:szCs w:val="20"/>
          <w:color w:val="1E1E1E"/>
        </w:rPr>
        <w:t>Level 3 - Unobservable inputs that are supported by little or no market activity, including the Company’s own assumptions in determining fair value.</w:t>
      </w:r>
    </w:p>
    <w:p>
      <w:pPr>
        <w:spacing w:after="0" w:line="45"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The Company’s financial assets and liabilities subject to the three-level fair value hierarchy consist principally of cash and equivalents, short-term investments, accounts receivable, derivative financial instruments, accounts payable, long-term and short-term debt and contingent consideration payable. The estimated fair value of cash included in cash and cash equivalents, accounts receivable, and accounts payable approximates their carrying value due to their short maturities (less than 12 months).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Debt</w:t>
      </w:r>
    </w:p>
    <w:p>
      <w:pPr>
        <w:spacing w:after="0" w:line="11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1E1E1E"/>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2023 and 2022, based on interest rates currently available to the Company for similar borrowings.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Money market funds (included in cash and cash equivalents)</w:t>
      </w:r>
    </w:p>
    <w:p>
      <w:pPr>
        <w:spacing w:after="0" w:line="118"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1E1E1E"/>
        </w:rPr>
        <w:t>Money market funds are recorded at fair value using quoted market prices in active markets and are classified as Level 1 in the fair value hierarchy.</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Short-term investments</w:t>
      </w:r>
    </w:p>
    <w:p>
      <w:pPr>
        <w:spacing w:after="0" w:line="11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The Company estimates the fair values of investments in U.S. treasuries, agency bond securities, commercial paper, and certificates of deposit using level 2 inputs, by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Derivative financial instruments</w:t>
      </w:r>
    </w:p>
    <w:p>
      <w:pPr>
        <w:spacing w:after="0" w:line="118"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70"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45"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E1E1E"/>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December 31, 2023 and 2022 were classified as Level 2 in the fair value hierarchy.</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Contingent consideration</w:t>
      </w:r>
    </w:p>
    <w:p>
      <w:pPr>
        <w:spacing w:after="0" w:line="118"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1E1E1E"/>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December 31, 2023, the fair value of the contingent consideration was estimated to be $8.8 million and was included in other long-term liabilities on the consolidated balance sheets. The change in estimate of contingent consideration subsequent to initial measurement as of the acquisition date was recorded in transaction, integration, and restructuring expense in the accompanying consolidated statements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F-38</w:t>
      </w:r>
    </w:p>
    <w:p>
      <w:pPr>
        <w:sectPr>
          <w:pgSz w:w="11880" w:h="15480" w:orient="portrait"/>
          <w:cols w:equalWidth="0" w:num="1">
            <w:col w:w="10240"/>
          </w:cols>
          <w:pgMar w:left="820" w:top="803" w:right="820" w:bottom="0" w:gutter="0" w:footer="0" w:header="0"/>
        </w:sectPr>
      </w:pPr>
    </w:p>
    <w:bookmarkStart w:id="122" w:name="page123"/>
    <w:bookmarkEnd w:id="122"/>
    <w:p>
      <w:pPr>
        <w:ind w:firstLine="490"/>
        <w:spacing w:after="0" w:line="246" w:lineRule="auto"/>
        <w:rPr>
          <w:sz w:val="20"/>
          <w:szCs w:val="20"/>
          <w:color w:val="auto"/>
        </w:rPr>
      </w:pPr>
      <w:r>
        <w:rPr>
          <w:rFonts w:ascii="Times New Roman" w:cs="Times New Roman" w:eastAsia="Times New Roman" w:hAnsi="Times New Roman"/>
          <w:sz w:val="20"/>
          <w:szCs w:val="20"/>
          <w:color w:val="1E1E1E"/>
        </w:rPr>
        <w:t>The deferred consideration that resulted from the acquisition of Analytical Wizards in the first quarter of 2022, which is subject to the meeting of certain expense control metrics during the two-year period following the acquisition, is also measured at fair value on a recurring basis. The fair value was estimated based on the present value of the amount expected to be paid at the end of the measurement period. At December 31, 2023, the fair value of the contingent consideration was estimated to be $1.6 million and was included in accrued expenses and other current liabilities on the consolidated balance sheets. The change in estimate of contingent consideration subsequent to initial measurement as of the acquisition date was recorded in transaction, integration, and restructuring expense in the accompanying consolidated statements of operations.</w:t>
      </w:r>
    </w:p>
    <w:p>
      <w:pPr>
        <w:spacing w:after="0" w:line="80"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4"/>
        </w:trPr>
        <w:tc>
          <w:tcPr>
            <w:tcW w:w="570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ind w:left="380"/>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57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Balance at beginning of year</w:t>
            </w: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2,250</w:t>
            </w:r>
          </w:p>
        </w:tc>
        <w:tc>
          <w:tcPr>
            <w:tcW w:w="24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ind w:left="820"/>
              <w:spacing w:after="0" w:line="220" w:lineRule="exact"/>
              <w:rPr>
                <w:sz w:val="20"/>
                <w:szCs w:val="20"/>
                <w:color w:val="auto"/>
              </w:rPr>
            </w:pPr>
            <w:r>
              <w:rPr>
                <w:rFonts w:ascii="Times New Roman" w:cs="Times New Roman" w:eastAsia="Times New Roman" w:hAnsi="Times New Roman"/>
                <w:sz w:val="20"/>
                <w:szCs w:val="20"/>
                <w:color w:val="1E1E1E"/>
                <w:w w:val="93"/>
              </w:rPr>
              <w:t>7,500</w:t>
            </w:r>
          </w:p>
        </w:tc>
        <w:tc>
          <w:tcPr>
            <w:tcW w:w="100" w:type="dxa"/>
            <w:vAlign w:val="bottom"/>
            <w:shd w:val="clear" w:color="auto" w:fill="E4E4E4"/>
          </w:tcPr>
          <w:p>
            <w:pPr>
              <w:spacing w:after="0"/>
              <w:rPr>
                <w:sz w:val="19"/>
                <w:szCs w:val="19"/>
                <w:color w:val="auto"/>
              </w:rPr>
            </w:pPr>
          </w:p>
        </w:tc>
      </w:tr>
      <w:tr>
        <w:trPr>
          <w:trHeight w:val="230"/>
        </w:trPr>
        <w:tc>
          <w:tcPr>
            <w:tcW w:w="57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Additions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820"/>
              <w:spacing w:after="0"/>
              <w:rPr>
                <w:sz w:val="20"/>
                <w:szCs w:val="20"/>
                <w:color w:val="auto"/>
              </w:rPr>
            </w:pPr>
            <w:r>
              <w:rPr>
                <w:rFonts w:ascii="Times New Roman" w:cs="Times New Roman" w:eastAsia="Times New Roman" w:hAnsi="Times New Roman"/>
                <w:sz w:val="20"/>
                <w:szCs w:val="20"/>
                <w:color w:val="1E1E1E"/>
                <w:w w:val="93"/>
              </w:rPr>
              <w:t>1,000</w:t>
            </w:r>
          </w:p>
        </w:tc>
        <w:tc>
          <w:tcPr>
            <w:tcW w:w="100" w:type="dxa"/>
            <w:vAlign w:val="bottom"/>
          </w:tcPr>
          <w:p>
            <w:pPr>
              <w:spacing w:after="0"/>
              <w:rPr>
                <w:sz w:val="19"/>
                <w:szCs w:val="19"/>
                <w:color w:val="auto"/>
              </w:rPr>
            </w:pPr>
          </w:p>
        </w:tc>
      </w:tr>
      <w:tr>
        <w:trPr>
          <w:trHeight w:val="230"/>
        </w:trPr>
        <w:tc>
          <w:tcPr>
            <w:tcW w:w="57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Net change in fair value and other adjustments</w:t>
            </w: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50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302</w:t>
            </w:r>
          </w:p>
        </w:tc>
        <w:tc>
          <w:tcPr>
            <w:tcW w:w="180" w:type="dxa"/>
            <w:vAlign w:val="bottom"/>
            <w:shd w:val="clear" w:color="auto" w:fill="E4E4E4"/>
          </w:tcPr>
          <w:p>
            <w:pPr>
              <w:spacing w:after="0"/>
              <w:rPr>
                <w:sz w:val="19"/>
                <w:szCs w:val="19"/>
                <w:color w:val="auto"/>
              </w:rPr>
            </w:pPr>
          </w:p>
        </w:tc>
        <w:tc>
          <w:tcPr>
            <w:tcW w:w="1360" w:type="dxa"/>
            <w:vAlign w:val="bottom"/>
            <w:gridSpan w:val="2"/>
            <w:shd w:val="clear" w:color="auto" w:fill="E4E4E4"/>
          </w:tcPr>
          <w:p>
            <w:pPr>
              <w:ind w:left="820"/>
              <w:spacing w:after="0"/>
              <w:rPr>
                <w:sz w:val="20"/>
                <w:szCs w:val="20"/>
                <w:color w:val="auto"/>
              </w:rPr>
            </w:pPr>
            <w:r>
              <w:rPr>
                <w:rFonts w:ascii="Times New Roman" w:cs="Times New Roman" w:eastAsia="Times New Roman" w:hAnsi="Times New Roman"/>
                <w:sz w:val="20"/>
                <w:szCs w:val="20"/>
                <w:color w:val="1E1E1E"/>
              </w:rPr>
              <w:t>1,250</w:t>
            </w:r>
          </w:p>
        </w:tc>
      </w:tr>
      <w:tr>
        <w:trPr>
          <w:trHeight w:val="230"/>
        </w:trPr>
        <w:tc>
          <w:tcPr>
            <w:tcW w:w="570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Payments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19"/>
                <w:szCs w:val="19"/>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1E1E1E"/>
                <w:w w:val="99"/>
              </w:rPr>
              <w:t>(7,500)</w:t>
            </w:r>
          </w:p>
        </w:tc>
      </w:tr>
      <w:tr>
        <w:trPr>
          <w:trHeight w:val="220"/>
        </w:trPr>
        <w:tc>
          <w:tcPr>
            <w:tcW w:w="570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Balance at end of year</w:t>
            </w:r>
          </w:p>
        </w:tc>
        <w:tc>
          <w:tcPr>
            <w:tcW w:w="160" w:type="dxa"/>
            <w:vAlign w:val="bottom"/>
            <w:tcBorders>
              <w:top w:val="single" w:sz="8" w:color="E4E4E4"/>
            </w:tcBorders>
            <w:shd w:val="clear" w:color="auto" w:fill="E4E4E4"/>
          </w:tcPr>
          <w:p>
            <w:pPr>
              <w:spacing w:after="0"/>
              <w:rPr>
                <w:sz w:val="19"/>
                <w:szCs w:val="19"/>
                <w:color w:val="auto"/>
              </w:rPr>
            </w:pPr>
          </w:p>
        </w:tc>
        <w:tc>
          <w:tcPr>
            <w:tcW w:w="18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10,352</w:t>
            </w:r>
          </w:p>
        </w:tc>
        <w:tc>
          <w:tcPr>
            <w:tcW w:w="240" w:type="dxa"/>
            <w:vAlign w:val="bottom"/>
            <w:tcBorders>
              <w:top w:val="single" w:sz="8" w:color="E4E4E4"/>
            </w:tcBorders>
            <w:shd w:val="clear" w:color="auto" w:fill="E4E4E4"/>
          </w:tcPr>
          <w:p>
            <w:pPr>
              <w:spacing w:after="0"/>
              <w:rPr>
                <w:sz w:val="19"/>
                <w:szCs w:val="19"/>
                <w:color w:val="auto"/>
              </w:rPr>
            </w:pPr>
          </w:p>
        </w:tc>
        <w:tc>
          <w:tcPr>
            <w:tcW w:w="18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top w:val="single" w:sz="8" w:color="1E1E1E"/>
              <w:bottom w:val="single" w:sz="8" w:color="1E1E1E"/>
            </w:tcBorders>
            <w:shd w:val="clear" w:color="auto" w:fill="E4E4E4"/>
          </w:tcPr>
          <w:p>
            <w:pPr>
              <w:ind w:left="820"/>
              <w:spacing w:after="0" w:line="220" w:lineRule="exact"/>
              <w:rPr>
                <w:sz w:val="20"/>
                <w:szCs w:val="20"/>
                <w:color w:val="auto"/>
              </w:rPr>
            </w:pPr>
            <w:r>
              <w:rPr>
                <w:rFonts w:ascii="Times New Roman" w:cs="Times New Roman" w:eastAsia="Times New Roman" w:hAnsi="Times New Roman"/>
                <w:sz w:val="20"/>
                <w:szCs w:val="20"/>
                <w:color w:val="1E1E1E"/>
                <w:w w:val="93"/>
              </w:rPr>
              <w:t>2,250</w:t>
            </w:r>
          </w:p>
        </w:tc>
        <w:tc>
          <w:tcPr>
            <w:tcW w:w="100" w:type="dxa"/>
            <w:vAlign w:val="bottom"/>
            <w:tcBorders>
              <w:top w:val="single" w:sz="8" w:color="E4E4E4"/>
            </w:tcBorders>
            <w:shd w:val="clear" w:color="auto" w:fill="E4E4E4"/>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1E1E1E"/>
        </w:rPr>
        <w:t>Non-recurring fair value measurements</w:t>
      </w:r>
    </w:p>
    <w:p>
      <w:pPr>
        <w:spacing w:after="0" w:line="118" w:lineRule="exact"/>
        <w:rPr>
          <w:sz w:val="20"/>
          <w:szCs w:val="20"/>
          <w:color w:val="auto"/>
        </w:rPr>
      </w:pPr>
    </w:p>
    <w:p>
      <w:pPr>
        <w:ind w:right="100" w:firstLine="490"/>
        <w:spacing w:after="0" w:line="266" w:lineRule="auto"/>
        <w:rPr>
          <w:sz w:val="20"/>
          <w:szCs w:val="20"/>
          <w:color w:val="auto"/>
        </w:rPr>
      </w:pPr>
      <w:r>
        <w:rPr>
          <w:rFonts w:ascii="Times New Roman" w:cs="Times New Roman" w:eastAsia="Times New Roman" w:hAnsi="Times New Roman"/>
          <w:sz w:val="19"/>
          <w:szCs w:val="19"/>
          <w:color w:val="1E1E1E"/>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cs="Times New Roman" w:eastAsia="Times New Roman" w:hAnsi="Times New Roman"/>
          <w:sz w:val="19"/>
          <w:szCs w:val="19"/>
          <w:i w:val="1"/>
          <w:iCs w:val="1"/>
          <w:color w:val="1E1E1E"/>
        </w:rPr>
        <w:t>Summary of Significant Accounting Policies.</w:t>
      </w:r>
    </w:p>
    <w:p>
      <w:pPr>
        <w:spacing w:after="0" w:line="59"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1E1E1E"/>
        </w:rPr>
        <w:t xml:space="preserve">The Company performed an interim goodwill impairment test during the third quarter of 2023 and concluded that the carrying value of its single reporting unit exceeded its fair value and recorded a $287.4 million non-cash goodwill impairment charge for the year ended December 31, 2023. For further discussion about the impairment testing of assets not measured at fair value on a recurring basis, see Note 9. </w:t>
      </w:r>
      <w:r>
        <w:rPr>
          <w:rFonts w:ascii="Times New Roman" w:cs="Times New Roman" w:eastAsia="Times New Roman" w:hAnsi="Times New Roman"/>
          <w:sz w:val="20"/>
          <w:szCs w:val="20"/>
          <w:i w:val="1"/>
          <w:iCs w:val="1"/>
          <w:color w:val="1E1E1E"/>
        </w:rPr>
        <w:t>Goodwill and Intangible Assets</w:t>
      </w:r>
      <w:r>
        <w:rPr>
          <w:rFonts w:ascii="Times New Roman" w:cs="Times New Roman" w:eastAsia="Times New Roman" w:hAnsi="Times New Roman"/>
          <w:sz w:val="20"/>
          <w:szCs w:val="20"/>
          <w:color w:val="1E1E1E"/>
        </w:rPr>
        <w:t>.</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At December 31, 2023 and 2022, assets and liabilities measured at fair value on a recurring basis were as follows:</w:t>
      </w:r>
    </w:p>
    <w:p>
      <w:pPr>
        <w:spacing w:after="0" w:line="242"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980" w:type="dxa"/>
            <w:vAlign w:val="bottom"/>
            <w:tcBorders>
              <w:bottom w:val="single" w:sz="8" w:color="1E1E1E"/>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1E1E1E"/>
              </w:rPr>
              <w:t>As of December 31, 2023</w:t>
            </w:r>
          </w:p>
        </w:tc>
        <w:tc>
          <w:tcPr>
            <w:tcW w:w="100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560"/>
              <w:spacing w:after="0" w:line="174" w:lineRule="exact"/>
              <w:rPr>
                <w:sz w:val="20"/>
                <w:szCs w:val="20"/>
                <w:color w:val="auto"/>
              </w:rPr>
            </w:pPr>
            <w:r>
              <w:rPr>
                <w:rFonts w:ascii="Times New Roman" w:cs="Times New Roman" w:eastAsia="Times New Roman" w:hAnsi="Times New Roman"/>
                <w:sz w:val="16"/>
                <w:szCs w:val="16"/>
                <w:b w:val="1"/>
                <w:bCs w:val="1"/>
                <w:color w:val="1E1E1E"/>
              </w:rPr>
              <w:t>Total</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620"/>
              <w:spacing w:after="0" w:line="174" w:lineRule="exact"/>
              <w:rPr>
                <w:sz w:val="20"/>
                <w:szCs w:val="20"/>
                <w:color w:val="auto"/>
              </w:rPr>
            </w:pPr>
            <w:r>
              <w:rPr>
                <w:rFonts w:ascii="Times New Roman" w:cs="Times New Roman" w:eastAsia="Times New Roman" w:hAnsi="Times New Roman"/>
                <w:sz w:val="16"/>
                <w:szCs w:val="16"/>
                <w:b w:val="1"/>
                <w:bCs w:val="1"/>
                <w:color w:val="1E1E1E"/>
              </w:rPr>
              <w:t>Level 1</w:t>
            </w:r>
          </w:p>
        </w:tc>
        <w:tc>
          <w:tcPr>
            <w:tcW w:w="220" w:type="dxa"/>
            <w:vAlign w:val="bottom"/>
          </w:tcPr>
          <w:p>
            <w:pPr>
              <w:spacing w:after="0"/>
              <w:rPr>
                <w:sz w:val="15"/>
                <w:szCs w:val="15"/>
                <w:color w:val="auto"/>
              </w:rPr>
            </w:pPr>
          </w:p>
        </w:tc>
        <w:tc>
          <w:tcPr>
            <w:tcW w:w="1500" w:type="dxa"/>
            <w:vAlign w:val="bottom"/>
            <w:gridSpan w:val="3"/>
          </w:tcPr>
          <w:p>
            <w:pPr>
              <w:ind w:left="140"/>
              <w:spacing w:after="0" w:line="174" w:lineRule="exact"/>
              <w:rPr>
                <w:sz w:val="20"/>
                <w:szCs w:val="20"/>
                <w:color w:val="auto"/>
              </w:rPr>
            </w:pPr>
            <w:r>
              <w:rPr>
                <w:rFonts w:ascii="Times New Roman" w:cs="Times New Roman" w:eastAsia="Times New Roman" w:hAnsi="Times New Roman"/>
                <w:sz w:val="16"/>
                <w:szCs w:val="16"/>
                <w:b w:val="1"/>
                <w:bCs w:val="1"/>
                <w:color w:val="1E1E1E"/>
              </w:rPr>
              <w:t>Level 2</w:t>
            </w:r>
          </w:p>
        </w:tc>
        <w:tc>
          <w:tcPr>
            <w:tcW w:w="1000" w:type="dxa"/>
            <w:vAlign w:val="bottom"/>
          </w:tcPr>
          <w:p>
            <w:pPr>
              <w:jc w:val="right"/>
              <w:ind w:right="282"/>
              <w:spacing w:after="0" w:line="174" w:lineRule="exact"/>
              <w:rPr>
                <w:sz w:val="20"/>
                <w:szCs w:val="20"/>
                <w:color w:val="auto"/>
              </w:rPr>
            </w:pPr>
            <w:r>
              <w:rPr>
                <w:rFonts w:ascii="Times New Roman" w:cs="Times New Roman" w:eastAsia="Times New Roman" w:hAnsi="Times New Roman"/>
                <w:sz w:val="16"/>
                <w:szCs w:val="16"/>
                <w:b w:val="1"/>
                <w:bCs w:val="1"/>
                <w:color w:val="1E1E1E"/>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Assets:</w:t>
            </w:r>
          </w:p>
        </w:tc>
        <w:tc>
          <w:tcPr>
            <w:tcW w:w="140" w:type="dxa"/>
            <w:vAlign w:val="bottom"/>
            <w:tcBorders>
              <w:top w:val="single" w:sz="8" w:color="E4E4E4"/>
            </w:tcBorders>
            <w:shd w:val="clear" w:color="auto" w:fill="E4E4E4"/>
          </w:tcPr>
          <w:p>
            <w:pPr>
              <w:spacing w:after="0"/>
              <w:rPr>
                <w:sz w:val="19"/>
                <w:szCs w:val="19"/>
                <w:color w:val="auto"/>
              </w:rPr>
            </w:pPr>
          </w:p>
        </w:tc>
        <w:tc>
          <w:tcPr>
            <w:tcW w:w="260" w:type="dxa"/>
            <w:vAlign w:val="bottom"/>
            <w:tcBorders>
              <w:top w:val="single" w:sz="8" w:color="1E1E1E"/>
            </w:tcBorders>
            <w:shd w:val="clear" w:color="auto" w:fill="E4E4E4"/>
          </w:tcPr>
          <w:p>
            <w:pPr>
              <w:spacing w:after="0"/>
              <w:rPr>
                <w:sz w:val="19"/>
                <w:szCs w:val="19"/>
                <w:color w:val="auto"/>
              </w:rPr>
            </w:pPr>
          </w:p>
        </w:tc>
        <w:tc>
          <w:tcPr>
            <w:tcW w:w="98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E4E4E4"/>
            </w:tcBorders>
            <w:shd w:val="clear" w:color="auto" w:fill="E4E4E4"/>
          </w:tcPr>
          <w:p>
            <w:pPr>
              <w:spacing w:after="0"/>
              <w:rPr>
                <w:sz w:val="19"/>
                <w:szCs w:val="19"/>
                <w:color w:val="auto"/>
              </w:rPr>
            </w:pPr>
          </w:p>
        </w:tc>
        <w:tc>
          <w:tcPr>
            <w:tcW w:w="240" w:type="dxa"/>
            <w:vAlign w:val="bottom"/>
            <w:tcBorders>
              <w:top w:val="single" w:sz="8" w:color="1E1E1E"/>
            </w:tcBorders>
            <w:shd w:val="clear" w:color="auto" w:fill="E4E4E4"/>
          </w:tcPr>
          <w:p>
            <w:pPr>
              <w:spacing w:after="0"/>
              <w:rPr>
                <w:sz w:val="19"/>
                <w:szCs w:val="19"/>
                <w:color w:val="auto"/>
              </w:rPr>
            </w:pPr>
          </w:p>
        </w:tc>
        <w:tc>
          <w:tcPr>
            <w:tcW w:w="100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40" w:type="dxa"/>
            <w:vAlign w:val="bottom"/>
            <w:tcBorders>
              <w:top w:val="single" w:sz="8" w:color="1E1E1E"/>
            </w:tcBorders>
            <w:shd w:val="clear" w:color="auto" w:fill="E4E4E4"/>
          </w:tcPr>
          <w:p>
            <w:pPr>
              <w:spacing w:after="0"/>
              <w:rPr>
                <w:sz w:val="19"/>
                <w:szCs w:val="19"/>
                <w:color w:val="auto"/>
              </w:rPr>
            </w:pPr>
          </w:p>
        </w:tc>
        <w:tc>
          <w:tcPr>
            <w:tcW w:w="100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Money market funds</w:t>
            </w:r>
          </w:p>
        </w:tc>
        <w:tc>
          <w:tcPr>
            <w:tcW w:w="4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87,869</w:t>
            </w:r>
          </w:p>
        </w:tc>
        <w:tc>
          <w:tcPr>
            <w:tcW w:w="36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87,869</w:t>
            </w:r>
          </w:p>
        </w:tc>
        <w:tc>
          <w:tcPr>
            <w:tcW w:w="22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500" w:type="dxa"/>
            <w:vAlign w:val="bottom"/>
            <w:gridSpan w:val="3"/>
            <w:shd w:val="clear" w:color="auto" w:fill="E4E4E4"/>
          </w:tcPr>
          <w:p>
            <w:pPr>
              <w:ind w:left="820"/>
              <w:spacing w:after="0"/>
              <w:rPr>
                <w:sz w:val="20"/>
                <w:szCs w:val="20"/>
                <w:color w:val="auto"/>
              </w:rPr>
            </w:pPr>
            <w:r>
              <w:rPr>
                <w:rFonts w:ascii="Times New Roman" w:cs="Times New Roman" w:eastAsia="Times New Roman" w:hAnsi="Times New Roman"/>
                <w:sz w:val="20"/>
                <w:szCs w:val="20"/>
                <w:color w:val="1E1E1E"/>
              </w:rPr>
              <w:t>—   $</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400"/>
              <w:spacing w:after="0" w:line="208" w:lineRule="exact"/>
              <w:rPr>
                <w:sz w:val="20"/>
                <w:szCs w:val="20"/>
                <w:color w:val="auto"/>
              </w:rPr>
            </w:pPr>
            <w:r>
              <w:rPr>
                <w:rFonts w:ascii="Times New Roman" w:cs="Times New Roman" w:eastAsia="Times New Roman" w:hAnsi="Times New Roman"/>
                <w:sz w:val="20"/>
                <w:szCs w:val="20"/>
                <w:color w:val="1E1E1E"/>
              </w:rPr>
              <w:t>Commercial paper (maturities less than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90 days)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4,227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4,227</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E4E4E4"/>
          </w:tcPr>
          <w:p>
            <w:pPr>
              <w:ind w:left="400"/>
              <w:spacing w:after="0" w:line="208" w:lineRule="exact"/>
              <w:rPr>
                <w:sz w:val="20"/>
                <w:szCs w:val="20"/>
                <w:color w:val="auto"/>
              </w:rPr>
            </w:pPr>
            <w:r>
              <w:rPr>
                <w:rFonts w:ascii="Times New Roman" w:cs="Times New Roman" w:eastAsia="Times New Roman" w:hAnsi="Times New Roman"/>
                <w:sz w:val="20"/>
                <w:szCs w:val="20"/>
                <w:color w:val="1E1E1E"/>
              </w:rPr>
              <w:t>Certificates of deposit (maturities less</w:t>
            </w:r>
          </w:p>
        </w:tc>
        <w:tc>
          <w:tcPr>
            <w:tcW w:w="14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than 90 days)</w:t>
            </w:r>
          </w:p>
        </w:tc>
        <w:tc>
          <w:tcPr>
            <w:tcW w:w="14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1,000</w:t>
            </w:r>
          </w:p>
        </w:tc>
        <w:tc>
          <w:tcPr>
            <w:tcW w:w="12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21"/>
                <w:szCs w:val="21"/>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1,000</w:t>
            </w:r>
          </w:p>
        </w:tc>
        <w:tc>
          <w:tcPr>
            <w:tcW w:w="240" w:type="dxa"/>
            <w:vAlign w:val="bottom"/>
            <w:shd w:val="clear" w:color="auto" w:fill="E4E4E4"/>
          </w:tcPr>
          <w:p>
            <w:pPr>
              <w:spacing w:after="0"/>
              <w:rPr>
                <w:sz w:val="21"/>
                <w:szCs w:val="21"/>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Short-term investments: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U.S. treasuries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62,461</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62,461</w:t>
            </w: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Corporate bonds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2,324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2,324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Commercial paper</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94,336</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94,336</w:t>
            </w: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Certificates of deposit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17,971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17,971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Interest rate swap contracts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3,426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3,426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Other assets: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Interest rate swap contracts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509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509</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Liabilities: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Contingent consideration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10,352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20"/>
          </w:cols>
          <w:pgMar w:left="820" w:top="806"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F-39</w:t>
      </w:r>
    </w:p>
    <w:p>
      <w:pPr>
        <w:sectPr>
          <w:pgSz w:w="11880" w:h="15480" w:orient="portrait"/>
          <w:cols w:equalWidth="0" w:num="1">
            <w:col w:w="10220"/>
          </w:cols>
          <w:pgMar w:left="820" w:top="806" w:right="840" w:bottom="8" w:gutter="0" w:footer="0" w:header="0"/>
          <w:type w:val="continuous"/>
        </w:sectPr>
      </w:pPr>
    </w:p>
    <w:bookmarkStart w:id="123" w:name="page124"/>
    <w:bookmarkEnd w:id="123"/>
    <w:tbl>
      <w:tblPr>
        <w:tblLayout w:type="fixed"/>
        <w:tblInd w:w="260" w:type="dxa"/>
        <w:tblCellMar>
          <w:top w:w="0" w:type="dxa"/>
          <w:left w:w="0" w:type="dxa"/>
          <w:bottom w:w="0" w:type="dxa"/>
          <w:right w:w="0" w:type="dxa"/>
        </w:tblCellMar>
      </w:tblPr>
      <w:tr>
        <w:trPr>
          <w:trHeight w:val="204"/>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98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980" w:type="dxa"/>
            <w:vAlign w:val="bottom"/>
            <w:tcBorders>
              <w:bottom w:val="single" w:sz="8" w:color="1E1E1E"/>
            </w:tcBorders>
            <w:gridSpan w:val="6"/>
          </w:tcPr>
          <w:p>
            <w:pPr>
              <w:ind w:left="280"/>
              <w:spacing w:after="0"/>
              <w:rPr>
                <w:sz w:val="20"/>
                <w:szCs w:val="20"/>
                <w:color w:val="auto"/>
              </w:rPr>
            </w:pPr>
            <w:r>
              <w:rPr>
                <w:rFonts w:ascii="Times New Roman" w:cs="Times New Roman" w:eastAsia="Times New Roman" w:hAnsi="Times New Roman"/>
                <w:sz w:val="16"/>
                <w:szCs w:val="16"/>
                <w:b w:val="1"/>
                <w:bCs w:val="1"/>
                <w:color w:val="1E1E1E"/>
              </w:rPr>
              <w:t>As of December 31, 2022</w:t>
            </w:r>
          </w:p>
        </w:tc>
        <w:tc>
          <w:tcPr>
            <w:tcW w:w="100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560"/>
              <w:spacing w:after="0" w:line="174" w:lineRule="exact"/>
              <w:rPr>
                <w:sz w:val="20"/>
                <w:szCs w:val="20"/>
                <w:color w:val="auto"/>
              </w:rPr>
            </w:pPr>
            <w:r>
              <w:rPr>
                <w:rFonts w:ascii="Times New Roman" w:cs="Times New Roman" w:eastAsia="Times New Roman" w:hAnsi="Times New Roman"/>
                <w:sz w:val="16"/>
                <w:szCs w:val="16"/>
                <w:b w:val="1"/>
                <w:bCs w:val="1"/>
                <w:color w:val="1E1E1E"/>
              </w:rPr>
              <w:t>Total</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620"/>
              <w:spacing w:after="0" w:line="174" w:lineRule="exact"/>
              <w:rPr>
                <w:sz w:val="20"/>
                <w:szCs w:val="20"/>
                <w:color w:val="auto"/>
              </w:rPr>
            </w:pPr>
            <w:r>
              <w:rPr>
                <w:rFonts w:ascii="Times New Roman" w:cs="Times New Roman" w:eastAsia="Times New Roman" w:hAnsi="Times New Roman"/>
                <w:sz w:val="16"/>
                <w:szCs w:val="16"/>
                <w:b w:val="1"/>
                <w:bCs w:val="1"/>
                <w:color w:val="1E1E1E"/>
              </w:rPr>
              <w:t>Level 1</w:t>
            </w:r>
          </w:p>
        </w:tc>
        <w:tc>
          <w:tcPr>
            <w:tcW w:w="220" w:type="dxa"/>
            <w:vAlign w:val="bottom"/>
          </w:tcPr>
          <w:p>
            <w:pPr>
              <w:spacing w:after="0"/>
              <w:rPr>
                <w:sz w:val="15"/>
                <w:szCs w:val="15"/>
                <w:color w:val="auto"/>
              </w:rPr>
            </w:pPr>
          </w:p>
        </w:tc>
        <w:tc>
          <w:tcPr>
            <w:tcW w:w="1500" w:type="dxa"/>
            <w:vAlign w:val="bottom"/>
            <w:gridSpan w:val="3"/>
          </w:tcPr>
          <w:p>
            <w:pPr>
              <w:ind w:left="140"/>
              <w:spacing w:after="0" w:line="174" w:lineRule="exact"/>
              <w:rPr>
                <w:sz w:val="20"/>
                <w:szCs w:val="20"/>
                <w:color w:val="auto"/>
              </w:rPr>
            </w:pPr>
            <w:r>
              <w:rPr>
                <w:rFonts w:ascii="Times New Roman" w:cs="Times New Roman" w:eastAsia="Times New Roman" w:hAnsi="Times New Roman"/>
                <w:sz w:val="16"/>
                <w:szCs w:val="16"/>
                <w:b w:val="1"/>
                <w:bCs w:val="1"/>
                <w:color w:val="1E1E1E"/>
              </w:rPr>
              <w:t>Level 2</w:t>
            </w:r>
          </w:p>
        </w:tc>
        <w:tc>
          <w:tcPr>
            <w:tcW w:w="1000" w:type="dxa"/>
            <w:vAlign w:val="bottom"/>
          </w:tcPr>
          <w:p>
            <w:pPr>
              <w:jc w:val="right"/>
              <w:ind w:right="282"/>
              <w:spacing w:after="0" w:line="174" w:lineRule="exact"/>
              <w:rPr>
                <w:sz w:val="20"/>
                <w:szCs w:val="20"/>
                <w:color w:val="auto"/>
              </w:rPr>
            </w:pPr>
            <w:r>
              <w:rPr>
                <w:rFonts w:ascii="Times New Roman" w:cs="Times New Roman" w:eastAsia="Times New Roman" w:hAnsi="Times New Roman"/>
                <w:sz w:val="16"/>
                <w:szCs w:val="16"/>
                <w:b w:val="1"/>
                <w:bCs w:val="1"/>
                <w:color w:val="1E1E1E"/>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Assets:</w:t>
            </w:r>
          </w:p>
        </w:tc>
        <w:tc>
          <w:tcPr>
            <w:tcW w:w="140" w:type="dxa"/>
            <w:vAlign w:val="bottom"/>
            <w:tcBorders>
              <w:top w:val="single" w:sz="8" w:color="E4E4E4"/>
            </w:tcBorders>
            <w:shd w:val="clear" w:color="auto" w:fill="E4E4E4"/>
          </w:tcPr>
          <w:p>
            <w:pPr>
              <w:spacing w:after="0"/>
              <w:rPr>
                <w:sz w:val="19"/>
                <w:szCs w:val="19"/>
                <w:color w:val="auto"/>
              </w:rPr>
            </w:pPr>
          </w:p>
        </w:tc>
        <w:tc>
          <w:tcPr>
            <w:tcW w:w="260" w:type="dxa"/>
            <w:vAlign w:val="bottom"/>
            <w:tcBorders>
              <w:top w:val="single" w:sz="8" w:color="1E1E1E"/>
            </w:tcBorders>
            <w:shd w:val="clear" w:color="auto" w:fill="E4E4E4"/>
          </w:tcPr>
          <w:p>
            <w:pPr>
              <w:spacing w:after="0"/>
              <w:rPr>
                <w:sz w:val="19"/>
                <w:szCs w:val="19"/>
                <w:color w:val="auto"/>
              </w:rPr>
            </w:pPr>
          </w:p>
        </w:tc>
        <w:tc>
          <w:tcPr>
            <w:tcW w:w="980" w:type="dxa"/>
            <w:vAlign w:val="bottom"/>
            <w:tcBorders>
              <w:top w:val="single" w:sz="8" w:color="1E1E1E"/>
            </w:tcBorders>
            <w:shd w:val="clear" w:color="auto" w:fill="E4E4E4"/>
          </w:tcPr>
          <w:p>
            <w:pPr>
              <w:spacing w:after="0"/>
              <w:rPr>
                <w:sz w:val="19"/>
                <w:szCs w:val="19"/>
                <w:color w:val="auto"/>
              </w:rPr>
            </w:pPr>
          </w:p>
        </w:tc>
        <w:tc>
          <w:tcPr>
            <w:tcW w:w="12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E4E4E4"/>
            </w:tcBorders>
            <w:shd w:val="clear" w:color="auto" w:fill="E4E4E4"/>
          </w:tcPr>
          <w:p>
            <w:pPr>
              <w:spacing w:after="0"/>
              <w:rPr>
                <w:sz w:val="19"/>
                <w:szCs w:val="19"/>
                <w:color w:val="auto"/>
              </w:rPr>
            </w:pPr>
          </w:p>
        </w:tc>
        <w:tc>
          <w:tcPr>
            <w:tcW w:w="240" w:type="dxa"/>
            <w:vAlign w:val="bottom"/>
            <w:tcBorders>
              <w:top w:val="single" w:sz="8" w:color="1E1E1E"/>
            </w:tcBorders>
            <w:shd w:val="clear" w:color="auto" w:fill="E4E4E4"/>
          </w:tcPr>
          <w:p>
            <w:pPr>
              <w:spacing w:after="0"/>
              <w:rPr>
                <w:sz w:val="19"/>
                <w:szCs w:val="19"/>
                <w:color w:val="auto"/>
              </w:rPr>
            </w:pPr>
          </w:p>
        </w:tc>
        <w:tc>
          <w:tcPr>
            <w:tcW w:w="1000" w:type="dxa"/>
            <w:vAlign w:val="bottom"/>
            <w:tcBorders>
              <w:top w:val="single" w:sz="8" w:color="1E1E1E"/>
            </w:tcBorders>
            <w:shd w:val="clear" w:color="auto" w:fill="E4E4E4"/>
          </w:tcPr>
          <w:p>
            <w:pPr>
              <w:spacing w:after="0"/>
              <w:rPr>
                <w:sz w:val="19"/>
                <w:szCs w:val="19"/>
                <w:color w:val="auto"/>
              </w:rPr>
            </w:pPr>
          </w:p>
        </w:tc>
        <w:tc>
          <w:tcPr>
            <w:tcW w:w="26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spacing w:after="0"/>
              <w:rPr>
                <w:sz w:val="19"/>
                <w:szCs w:val="19"/>
                <w:color w:val="auto"/>
              </w:rPr>
            </w:pPr>
          </w:p>
        </w:tc>
        <w:tc>
          <w:tcPr>
            <w:tcW w:w="1020" w:type="dxa"/>
            <w:vAlign w:val="bottom"/>
            <w:tcBorders>
              <w:top w:val="single" w:sz="8" w:color="1E1E1E"/>
            </w:tcBorders>
            <w:shd w:val="clear" w:color="auto" w:fill="E4E4E4"/>
          </w:tcPr>
          <w:p>
            <w:pPr>
              <w:spacing w:after="0"/>
              <w:rPr>
                <w:sz w:val="19"/>
                <w:szCs w:val="19"/>
                <w:color w:val="auto"/>
              </w:rPr>
            </w:pPr>
          </w:p>
        </w:tc>
        <w:tc>
          <w:tcPr>
            <w:tcW w:w="240" w:type="dxa"/>
            <w:vAlign w:val="bottom"/>
            <w:tcBorders>
              <w:top w:val="single" w:sz="8" w:color="E4E4E4"/>
            </w:tcBorders>
            <w:shd w:val="clear" w:color="auto" w:fill="E4E4E4"/>
          </w:tcPr>
          <w:p>
            <w:pPr>
              <w:spacing w:after="0"/>
              <w:rPr>
                <w:sz w:val="19"/>
                <w:szCs w:val="19"/>
                <w:color w:val="auto"/>
              </w:rPr>
            </w:pPr>
          </w:p>
        </w:tc>
        <w:tc>
          <w:tcPr>
            <w:tcW w:w="240" w:type="dxa"/>
            <w:vAlign w:val="bottom"/>
            <w:tcBorders>
              <w:top w:val="single" w:sz="8" w:color="1E1E1E"/>
            </w:tcBorders>
            <w:shd w:val="clear" w:color="auto" w:fill="E4E4E4"/>
          </w:tcPr>
          <w:p>
            <w:pPr>
              <w:spacing w:after="0"/>
              <w:rPr>
                <w:sz w:val="19"/>
                <w:szCs w:val="19"/>
                <w:color w:val="auto"/>
              </w:rPr>
            </w:pPr>
          </w:p>
        </w:tc>
        <w:tc>
          <w:tcPr>
            <w:tcW w:w="1000" w:type="dxa"/>
            <w:vAlign w:val="bottom"/>
            <w:tcBorders>
              <w:top w:val="single" w:sz="8" w:color="1E1E1E"/>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Money market funds</w:t>
            </w:r>
          </w:p>
        </w:tc>
        <w:tc>
          <w:tcPr>
            <w:tcW w:w="4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39,523</w:t>
            </w:r>
          </w:p>
        </w:tc>
        <w:tc>
          <w:tcPr>
            <w:tcW w:w="36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39,523</w:t>
            </w:r>
          </w:p>
        </w:tc>
        <w:tc>
          <w:tcPr>
            <w:tcW w:w="220" w:type="dxa"/>
            <w:vAlign w:val="bottom"/>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500" w:type="dxa"/>
            <w:vAlign w:val="bottom"/>
            <w:gridSpan w:val="3"/>
            <w:shd w:val="clear" w:color="auto" w:fill="E4E4E4"/>
          </w:tcPr>
          <w:p>
            <w:pPr>
              <w:ind w:left="820"/>
              <w:spacing w:after="0"/>
              <w:rPr>
                <w:sz w:val="20"/>
                <w:szCs w:val="20"/>
                <w:color w:val="auto"/>
              </w:rPr>
            </w:pPr>
            <w:r>
              <w:rPr>
                <w:rFonts w:ascii="Times New Roman" w:cs="Times New Roman" w:eastAsia="Times New Roman" w:hAnsi="Times New Roman"/>
                <w:sz w:val="20"/>
                <w:szCs w:val="20"/>
                <w:color w:val="1E1E1E"/>
              </w:rPr>
              <w:t>—   $</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400"/>
              <w:spacing w:after="0" w:line="208" w:lineRule="exact"/>
              <w:rPr>
                <w:sz w:val="20"/>
                <w:szCs w:val="20"/>
                <w:color w:val="auto"/>
              </w:rPr>
            </w:pPr>
            <w:r>
              <w:rPr>
                <w:rFonts w:ascii="Times New Roman" w:cs="Times New Roman" w:eastAsia="Times New Roman" w:hAnsi="Times New Roman"/>
                <w:sz w:val="20"/>
                <w:szCs w:val="20"/>
                <w:color w:val="1E1E1E"/>
              </w:rPr>
              <w:t>Commercial paper (maturities less than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90 days)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2,276</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E4E4E4"/>
          </w:tcPr>
          <w:p>
            <w:pPr>
              <w:ind w:left="400"/>
              <w:spacing w:after="0" w:line="208" w:lineRule="exact"/>
              <w:rPr>
                <w:sz w:val="20"/>
                <w:szCs w:val="20"/>
                <w:color w:val="auto"/>
              </w:rPr>
            </w:pPr>
            <w:r>
              <w:rPr>
                <w:rFonts w:ascii="Times New Roman" w:cs="Times New Roman" w:eastAsia="Times New Roman" w:hAnsi="Times New Roman"/>
                <w:sz w:val="20"/>
                <w:szCs w:val="20"/>
                <w:color w:val="1E1E1E"/>
              </w:rPr>
              <w:t>Certificates of deposit (maturities less</w:t>
            </w:r>
          </w:p>
        </w:tc>
        <w:tc>
          <w:tcPr>
            <w:tcW w:w="14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than 90 days)</w:t>
            </w:r>
          </w:p>
        </w:tc>
        <w:tc>
          <w:tcPr>
            <w:tcW w:w="14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1,549</w:t>
            </w:r>
          </w:p>
        </w:tc>
        <w:tc>
          <w:tcPr>
            <w:tcW w:w="120" w:type="dxa"/>
            <w:vAlign w:val="bottom"/>
            <w:shd w:val="clear" w:color="auto" w:fill="E4E4E4"/>
          </w:tcPr>
          <w:p>
            <w:pPr>
              <w:spacing w:after="0"/>
              <w:rPr>
                <w:sz w:val="21"/>
                <w:szCs w:val="21"/>
                <w:color w:val="auto"/>
              </w:rPr>
            </w:pPr>
          </w:p>
        </w:tc>
        <w:tc>
          <w:tcPr>
            <w:tcW w:w="240" w:type="dxa"/>
            <w:vAlign w:val="bottom"/>
            <w:shd w:val="clear" w:color="auto" w:fill="E4E4E4"/>
          </w:tcPr>
          <w:p>
            <w:pPr>
              <w:spacing w:after="0"/>
              <w:rPr>
                <w:sz w:val="21"/>
                <w:szCs w:val="21"/>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21"/>
                <w:szCs w:val="21"/>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1,549</w:t>
            </w:r>
          </w:p>
        </w:tc>
        <w:tc>
          <w:tcPr>
            <w:tcW w:w="240" w:type="dxa"/>
            <w:vAlign w:val="bottom"/>
            <w:shd w:val="clear" w:color="auto" w:fill="E4E4E4"/>
          </w:tcPr>
          <w:p>
            <w:pPr>
              <w:spacing w:after="0"/>
              <w:rPr>
                <w:sz w:val="21"/>
                <w:szCs w:val="21"/>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400"/>
              <w:spacing w:after="0" w:line="208" w:lineRule="exact"/>
              <w:rPr>
                <w:sz w:val="20"/>
                <w:szCs w:val="20"/>
                <w:color w:val="auto"/>
              </w:rPr>
            </w:pPr>
            <w:r>
              <w:rPr>
                <w:rFonts w:ascii="Times New Roman" w:cs="Times New Roman" w:eastAsia="Times New Roman" w:hAnsi="Times New Roman"/>
                <w:sz w:val="20"/>
                <w:szCs w:val="20"/>
                <w:color w:val="1E1E1E"/>
              </w:rPr>
              <w:t>Agency bonds (maturities less than 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days)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768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768</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Short-term investments: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U.S. treasuries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59,723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59,723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Agency bonds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6,452</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6,452</w:t>
            </w: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Commercial paper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95,737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1E1E1E"/>
              </w:rPr>
              <w:t>95,737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Certificates of deposit</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23,027</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23,027</w:t>
            </w: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Interest rate swap contracts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3,716</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3,716</w:t>
            </w: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Other assets: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1E1E1E"/>
              </w:rPr>
              <w:t>Interest rate swap contracts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20"/>
                <w:szCs w:val="20"/>
                <w:color w:val="1E1E1E"/>
              </w:rPr>
              <w:t>2,834</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2,834</w:t>
            </w: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1E1E1E"/>
              </w:rPr>
              <w:t>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1E1E1E"/>
              </w:rPr>
              <w:t>Contingent consideration</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2,250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3"/>
                <w:szCs w:val="23"/>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2,250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1E1E1E"/>
        </w:rPr>
        <w:t>At December 31, 2023 and 2022,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ectPr>
          <w:pgSz w:w="11880" w:h="15480" w:orient="portrait"/>
          <w:cols w:equalWidth="0" w:num="1">
            <w:col w:w="10100"/>
          </w:cols>
          <w:pgMar w:left="820" w:top="808" w:right="9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1E1E1E"/>
        </w:rPr>
        <w:t>F-40</w:t>
      </w:r>
    </w:p>
    <w:p>
      <w:pPr>
        <w:sectPr>
          <w:pgSz w:w="11880" w:h="15480" w:orient="portrait"/>
          <w:cols w:equalWidth="0" w:num="1">
            <w:col w:w="10100"/>
          </w:cols>
          <w:pgMar w:left="820" w:top="808" w:right="960" w:bottom="8" w:gutter="0" w:footer="0" w:header="0"/>
          <w:type w:val="continuous"/>
        </w:sectPr>
      </w:pPr>
    </w:p>
    <w:bookmarkStart w:id="124" w:name="page125"/>
    <w:bookmarkEnd w:id="124"/>
    <w:p>
      <w:pPr>
        <w:ind w:left="500" w:hanging="492"/>
        <w:spacing w:after="0"/>
        <w:tabs>
          <w:tab w:leader="none" w:pos="500" w:val="left"/>
        </w:tabs>
        <w:numPr>
          <w:ilvl w:val="0"/>
          <w:numId w:val="5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Accrued Expenses and Other Current Liabilities</w:t>
      </w:r>
    </w:p>
    <w:p>
      <w:pPr>
        <w:spacing w:after="0" w:line="123" w:lineRule="exact"/>
        <w:rPr>
          <w:rFonts w:ascii="Times New Roman" w:cs="Times New Roman" w:eastAsia="Times New Roman" w:hAnsi="Times New Roman"/>
          <w:sz w:val="20"/>
          <w:szCs w:val="20"/>
          <w:b w:val="1"/>
          <w:bCs w:val="1"/>
          <w:color w:val="1E1E1E"/>
        </w:rPr>
      </w:pPr>
    </w:p>
    <w:p>
      <w:pPr>
        <w:ind w:left="50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Accrued expenses and other current liabilities consisted of the following:</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80" w:type="dxa"/>
            <w:vAlign w:val="bottom"/>
          </w:tcPr>
          <w:p>
            <w:pPr>
              <w:spacing w:after="0"/>
              <w:rPr>
                <w:sz w:val="16"/>
                <w:szCs w:val="16"/>
                <w:color w:val="auto"/>
              </w:rPr>
            </w:pPr>
          </w:p>
        </w:tc>
      </w:tr>
      <w:tr>
        <w:trPr>
          <w:trHeight w:val="204"/>
        </w:trPr>
        <w:tc>
          <w:tcPr>
            <w:tcW w:w="61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Borders>
              <w:bottom w:val="single" w:sz="8" w:color="E4E4E4"/>
            </w:tcBorders>
          </w:tcPr>
          <w:p>
            <w:pPr>
              <w:spacing w:after="0"/>
              <w:rPr>
                <w:sz w:val="17"/>
                <w:szCs w:val="17"/>
                <w:color w:val="auto"/>
              </w:rPr>
            </w:pPr>
          </w:p>
        </w:tc>
      </w:tr>
      <w:tr>
        <w:trPr>
          <w:trHeight w:val="220"/>
        </w:trPr>
        <w:tc>
          <w:tcPr>
            <w:tcW w:w="61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Payroll and payroll-related</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12,805</w:t>
            </w:r>
          </w:p>
        </w:tc>
        <w:tc>
          <w:tcPr>
            <w:tcW w:w="240" w:type="dxa"/>
            <w:vAlign w:val="bottom"/>
            <w:shd w:val="clear" w:color="auto" w:fill="E4E4E4"/>
          </w:tcPr>
          <w:p>
            <w:pPr>
              <w:spacing w:after="0"/>
              <w:rPr>
                <w:sz w:val="19"/>
                <w:szCs w:val="19"/>
                <w:color w:val="auto"/>
              </w:rPr>
            </w:pPr>
          </w:p>
        </w:tc>
        <w:tc>
          <w:tcPr>
            <w:tcW w:w="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11,961</w:t>
            </w:r>
          </w:p>
        </w:tc>
        <w:tc>
          <w:tcPr>
            <w:tcW w:w="80" w:type="dxa"/>
            <w:vAlign w:val="bottom"/>
            <w:shd w:val="clear" w:color="auto" w:fill="E4E4E4"/>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1E1E1E"/>
              </w:rPr>
              <w:t>Tax receivable agreement, current portion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20,095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tcPr>
          <w:p>
            <w:pPr>
              <w:spacing w:after="0"/>
              <w:rPr>
                <w:sz w:val="19"/>
                <w:szCs w:val="19"/>
                <w:color w:val="auto"/>
              </w:rPr>
            </w:pPr>
          </w:p>
        </w:tc>
      </w:tr>
      <w:tr>
        <w:trPr>
          <w:trHeight w:val="230"/>
        </w:trPr>
        <w:tc>
          <w:tcPr>
            <w:tcW w:w="61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Contingent consideration, current</w:t>
            </w:r>
          </w:p>
        </w:tc>
        <w:tc>
          <w:tcPr>
            <w:tcW w:w="1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1,602</w:t>
            </w:r>
          </w:p>
        </w:tc>
        <w:tc>
          <w:tcPr>
            <w:tcW w:w="2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0" w:type="dxa"/>
            <w:vAlign w:val="bottom"/>
            <w:shd w:val="clear" w:color="auto" w:fill="E4E4E4"/>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20"/>
                <w:szCs w:val="20"/>
                <w:color w:val="1E1E1E"/>
              </w:rPr>
              <w:t>Sales, franchise and other taxes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11,738</w:t>
            </w:r>
          </w:p>
        </w:tc>
        <w:tc>
          <w:tcPr>
            <w:tcW w:w="80" w:type="dxa"/>
            <w:vAlign w:val="bottom"/>
          </w:tcPr>
          <w:p>
            <w:pPr>
              <w:spacing w:after="0"/>
              <w:rPr>
                <w:sz w:val="19"/>
                <w:szCs w:val="19"/>
                <w:color w:val="auto"/>
              </w:rPr>
            </w:pPr>
          </w:p>
        </w:tc>
      </w:tr>
      <w:tr>
        <w:trPr>
          <w:trHeight w:val="230"/>
        </w:trPr>
        <w:tc>
          <w:tcPr>
            <w:tcW w:w="61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w:t>
            </w:r>
          </w:p>
        </w:tc>
        <w:tc>
          <w:tcPr>
            <w:tcW w:w="160" w:type="dxa"/>
            <w:vAlign w:val="bottom"/>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spacing w:after="0"/>
              <w:rPr>
                <w:sz w:val="19"/>
                <w:szCs w:val="19"/>
                <w:color w:val="auto"/>
              </w:rPr>
            </w:pPr>
          </w:p>
        </w:tc>
        <w:tc>
          <w:tcPr>
            <w:tcW w:w="11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7,501</w:t>
            </w:r>
          </w:p>
        </w:tc>
        <w:tc>
          <w:tcPr>
            <w:tcW w:w="240" w:type="dxa"/>
            <w:vAlign w:val="bottom"/>
            <w:shd w:val="clear" w:color="auto" w:fill="E4E4E4"/>
          </w:tcPr>
          <w:p>
            <w:pPr>
              <w:spacing w:after="0"/>
              <w:rPr>
                <w:sz w:val="19"/>
                <w:szCs w:val="19"/>
                <w:color w:val="auto"/>
              </w:rPr>
            </w:pPr>
          </w:p>
        </w:tc>
        <w:tc>
          <w:tcPr>
            <w:tcW w:w="120" w:type="dxa"/>
            <w:vAlign w:val="bottom"/>
            <w:tcBorders>
              <w:bottom w:val="single" w:sz="8" w:color="1E1E1E"/>
            </w:tcBorders>
            <w:shd w:val="clear" w:color="auto" w:fill="E4E4E4"/>
          </w:tcPr>
          <w:p>
            <w:pPr>
              <w:spacing w:after="0"/>
              <w:rPr>
                <w:sz w:val="19"/>
                <w:szCs w:val="19"/>
                <w:color w:val="auto"/>
              </w:rPr>
            </w:pPr>
          </w:p>
        </w:tc>
        <w:tc>
          <w:tcPr>
            <w:tcW w:w="11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3,156</w:t>
            </w:r>
          </w:p>
        </w:tc>
        <w:tc>
          <w:tcPr>
            <w:tcW w:w="80" w:type="dxa"/>
            <w:vAlign w:val="bottom"/>
            <w:shd w:val="clear" w:color="auto" w:fill="E4E4E4"/>
          </w:tcPr>
          <w:p>
            <w:pPr>
              <w:spacing w:after="0"/>
              <w:rPr>
                <w:sz w:val="19"/>
                <w:szCs w:val="19"/>
                <w:color w:val="auto"/>
              </w:rPr>
            </w:pPr>
          </w:p>
        </w:tc>
      </w:tr>
      <w:tr>
        <w:trPr>
          <w:trHeight w:val="220"/>
        </w:trPr>
        <w:tc>
          <w:tcPr>
            <w:tcW w:w="6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Accrued expenses and other current liabilities</w:t>
            </w:r>
          </w:p>
        </w:tc>
        <w:tc>
          <w:tcPr>
            <w:tcW w:w="160" w:type="dxa"/>
            <w:vAlign w:val="bottom"/>
          </w:tcPr>
          <w:p>
            <w:pPr>
              <w:spacing w:after="0"/>
              <w:rPr>
                <w:sz w:val="19"/>
                <w:szCs w:val="19"/>
                <w:color w:val="auto"/>
              </w:rPr>
            </w:pPr>
          </w:p>
        </w:tc>
        <w:tc>
          <w:tcPr>
            <w:tcW w:w="12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51,529</w:t>
            </w:r>
          </w:p>
        </w:tc>
        <w:tc>
          <w:tcPr>
            <w:tcW w:w="240" w:type="dxa"/>
            <w:vAlign w:val="bottom"/>
          </w:tcPr>
          <w:p>
            <w:pPr>
              <w:spacing w:after="0"/>
              <w:rPr>
                <w:sz w:val="19"/>
                <w:szCs w:val="19"/>
                <w:color w:val="auto"/>
              </w:rPr>
            </w:pPr>
          </w:p>
        </w:tc>
        <w:tc>
          <w:tcPr>
            <w:tcW w:w="12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26,855</w:t>
            </w:r>
          </w:p>
        </w:tc>
        <w:tc>
          <w:tcPr>
            <w:tcW w:w="8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1E1E1E"/>
        </w:rPr>
        <w:t>During the first and third quarters of 2023, the Company announced restructuring plans intended to reduce operating costs, improve operating margins, and continue advancing the Company’s ongoing commitment to profitable growth. During the year ended December 31, 2023, the Company incurred restructuring and related charges of $4.7 million, consisting primarily of severance payments, employee benefits, and related cash expenses. These charges were recognized within transaction, integration, and restructuring expenses in the Company’s consolidated statements of operations. As of December 31, 2023, $0.1 million is included in accrued expenses and other liabilities in the consolidated balance sheets. The Company expects these payments will be made over the next three months.</w:t>
      </w:r>
    </w:p>
    <w:p>
      <w:pPr>
        <w:spacing w:after="0" w:line="8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Furthermore, on January 3, 2024, the Company committed to an additional restructuring plan with similar objectives. The Company estimates that in the first half of 2024, it will incur pre-tax cash restructuring and related charges of approximately $6.5 million to $7.2 million, consisting primarily of severance payments, employee benefits, and related cash expenses, as well as an approximate $1.5 million non-cash stock-based compensation charge related to the vesting of share-based awards for employees who are terminated. The Company expects these actions will be substantially complete by the end of the second quarter of 2024.</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As of December 31, 2023 and 2022, the Company has recorded a sales tax accrual, which includes assumed maximum penalties and interest, of $6.7 million and $8.1 million, respectively.</w:t>
      </w:r>
    </w:p>
    <w:p>
      <w:pPr>
        <w:sectPr>
          <w:pgSz w:w="11880" w:h="15480" w:orient="portrait"/>
          <w:cols w:equalWidth="0" w:num="1">
            <w:col w:w="10180"/>
          </w:cols>
          <w:pgMar w:left="820" w:top="803" w:right="8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F-41</w:t>
      </w:r>
    </w:p>
    <w:p>
      <w:pPr>
        <w:sectPr>
          <w:pgSz w:w="11880" w:h="15480" w:orient="portrait"/>
          <w:cols w:equalWidth="0" w:num="1">
            <w:col w:w="10180"/>
          </w:cols>
          <w:pgMar w:left="820" w:top="803" w:right="880" w:bottom="8" w:gutter="0" w:footer="0" w:header="0"/>
          <w:type w:val="continuous"/>
        </w:sectPr>
      </w:pPr>
    </w:p>
    <w:bookmarkStart w:id="125" w:name="page126"/>
    <w:bookmarkEnd w:id="125"/>
    <w:p>
      <w:pPr>
        <w:ind w:left="500" w:hanging="492"/>
        <w:spacing w:after="0"/>
        <w:tabs>
          <w:tab w:leader="none" w:pos="500" w:val="left"/>
        </w:tabs>
        <w:numPr>
          <w:ilvl w:val="0"/>
          <w:numId w:val="51"/>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Commitments and Contingencies</w:t>
      </w:r>
    </w:p>
    <w:p>
      <w:pPr>
        <w:spacing w:after="0" w:line="24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The Company enters into purchase obligations in the normal course of doing business. The estimated annual minimum purchase commitments under those agreements were as follows for each of the years ending December 31:</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7300" w:type="dxa"/>
            <w:vAlign w:val="bottom"/>
          </w:tcPr>
          <w:p>
            <w:pPr>
              <w:jc w:val="right"/>
              <w:ind w:right="6265"/>
              <w:spacing w:after="0"/>
              <w:rPr>
                <w:sz w:val="20"/>
                <w:szCs w:val="20"/>
                <w:color w:val="auto"/>
              </w:rPr>
            </w:pPr>
            <w:r>
              <w:rPr>
                <w:rFonts w:ascii="Times New Roman" w:cs="Times New Roman" w:eastAsia="Times New Roman" w:hAnsi="Times New Roman"/>
                <w:sz w:val="16"/>
                <w:szCs w:val="16"/>
                <w:b w:val="1"/>
                <w:bCs w:val="1"/>
                <w:i w:val="1"/>
                <w:iCs w:val="1"/>
                <w:color w:val="1E1E1E"/>
                <w:w w:val="96"/>
              </w:rPr>
              <w:t>(in thousands)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300" w:type="dxa"/>
            <w:vAlign w:val="bottom"/>
            <w:shd w:val="clear" w:color="auto" w:fill="E4E4E4"/>
          </w:tcPr>
          <w:p>
            <w:pPr>
              <w:jc w:val="right"/>
              <w:ind w:right="6765"/>
              <w:spacing w:after="0"/>
              <w:rPr>
                <w:sz w:val="20"/>
                <w:szCs w:val="20"/>
                <w:color w:val="auto"/>
              </w:rPr>
            </w:pPr>
            <w:r>
              <w:rPr>
                <w:rFonts w:ascii="Times New Roman" w:cs="Times New Roman" w:eastAsia="Times New Roman" w:hAnsi="Times New Roman"/>
                <w:sz w:val="20"/>
                <w:szCs w:val="20"/>
                <w:color w:val="1E1E1E"/>
              </w:rPr>
              <w:t>2024</w:t>
            </w:r>
          </w:p>
        </w:tc>
        <w:tc>
          <w:tcPr>
            <w:tcW w:w="70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17,620</w:t>
            </w:r>
          </w:p>
        </w:tc>
        <w:tc>
          <w:tcPr>
            <w:tcW w:w="80" w:type="dxa"/>
            <w:vAlign w:val="bottom"/>
            <w:shd w:val="clear" w:color="auto" w:fill="E4E4E4"/>
          </w:tcPr>
          <w:p>
            <w:pPr>
              <w:spacing w:after="0"/>
              <w:rPr>
                <w:sz w:val="19"/>
                <w:szCs w:val="19"/>
                <w:color w:val="auto"/>
              </w:rPr>
            </w:pPr>
          </w:p>
        </w:tc>
      </w:tr>
      <w:tr>
        <w:trPr>
          <w:trHeight w:val="230"/>
        </w:trPr>
        <w:tc>
          <w:tcPr>
            <w:tcW w:w="7300" w:type="dxa"/>
            <w:vAlign w:val="bottom"/>
          </w:tcPr>
          <w:p>
            <w:pPr>
              <w:jc w:val="right"/>
              <w:ind w:right="6765"/>
              <w:spacing w:after="0"/>
              <w:rPr>
                <w:sz w:val="20"/>
                <w:szCs w:val="20"/>
                <w:color w:val="auto"/>
              </w:rPr>
            </w:pPr>
            <w:r>
              <w:rPr>
                <w:rFonts w:ascii="Times New Roman" w:cs="Times New Roman" w:eastAsia="Times New Roman" w:hAnsi="Times New Roman"/>
                <w:sz w:val="20"/>
                <w:szCs w:val="20"/>
                <w:color w:val="1E1E1E"/>
              </w:rPr>
              <w:t>2025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11,520</w:t>
            </w:r>
          </w:p>
        </w:tc>
        <w:tc>
          <w:tcPr>
            <w:tcW w:w="80" w:type="dxa"/>
            <w:vAlign w:val="bottom"/>
          </w:tcPr>
          <w:p>
            <w:pPr>
              <w:spacing w:after="0"/>
              <w:rPr>
                <w:sz w:val="19"/>
                <w:szCs w:val="19"/>
                <w:color w:val="auto"/>
              </w:rPr>
            </w:pPr>
          </w:p>
        </w:tc>
      </w:tr>
      <w:tr>
        <w:trPr>
          <w:trHeight w:val="230"/>
        </w:trPr>
        <w:tc>
          <w:tcPr>
            <w:tcW w:w="7300" w:type="dxa"/>
            <w:vAlign w:val="bottom"/>
            <w:shd w:val="clear" w:color="auto" w:fill="E4E4E4"/>
          </w:tcPr>
          <w:p>
            <w:pPr>
              <w:jc w:val="right"/>
              <w:ind w:right="6765"/>
              <w:spacing w:after="0"/>
              <w:rPr>
                <w:sz w:val="20"/>
                <w:szCs w:val="20"/>
                <w:color w:val="auto"/>
              </w:rPr>
            </w:pPr>
            <w:r>
              <w:rPr>
                <w:rFonts w:ascii="Times New Roman" w:cs="Times New Roman" w:eastAsia="Times New Roman" w:hAnsi="Times New Roman"/>
                <w:sz w:val="20"/>
                <w:szCs w:val="20"/>
                <w:color w:val="1E1E1E"/>
              </w:rPr>
              <w:t>2026</w:t>
            </w:r>
          </w:p>
        </w:tc>
        <w:tc>
          <w:tcPr>
            <w:tcW w:w="160" w:type="dxa"/>
            <w:vAlign w:val="bottom"/>
            <w:shd w:val="clear" w:color="auto" w:fill="E4E4E4"/>
          </w:tcPr>
          <w:p>
            <w:pPr>
              <w:spacing w:after="0"/>
              <w:rPr>
                <w:sz w:val="19"/>
                <w:szCs w:val="19"/>
                <w:color w:val="auto"/>
              </w:rPr>
            </w:pPr>
          </w:p>
        </w:tc>
        <w:tc>
          <w:tcPr>
            <w:tcW w:w="540" w:type="dxa"/>
            <w:vAlign w:val="bottom"/>
            <w:tcBorders>
              <w:bottom w:val="single" w:sz="8" w:color="1E1E1E"/>
            </w:tcBorders>
            <w:shd w:val="clear" w:color="auto" w:fill="E4E4E4"/>
          </w:tcPr>
          <w:p>
            <w:pPr>
              <w:spacing w:after="0"/>
              <w:rPr>
                <w:sz w:val="19"/>
                <w:szCs w:val="19"/>
                <w:color w:val="auto"/>
              </w:rPr>
            </w:pPr>
          </w:p>
        </w:tc>
        <w:tc>
          <w:tcPr>
            <w:tcW w:w="10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4,394</w:t>
            </w:r>
          </w:p>
        </w:tc>
        <w:tc>
          <w:tcPr>
            <w:tcW w:w="80" w:type="dxa"/>
            <w:vAlign w:val="bottom"/>
            <w:shd w:val="clear" w:color="auto" w:fill="E4E4E4"/>
          </w:tcPr>
          <w:p>
            <w:pPr>
              <w:spacing w:after="0"/>
              <w:rPr>
                <w:sz w:val="19"/>
                <w:szCs w:val="19"/>
                <w:color w:val="auto"/>
              </w:rPr>
            </w:pPr>
          </w:p>
        </w:tc>
      </w:tr>
      <w:tr>
        <w:trPr>
          <w:trHeight w:val="220"/>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1E1E1E"/>
            </w:tcBorders>
          </w:tcPr>
          <w:p>
            <w:pPr>
              <w:jc w:val="right"/>
              <w:ind w:right="3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33,534</w:t>
            </w:r>
          </w:p>
        </w:tc>
        <w:tc>
          <w:tcPr>
            <w:tcW w:w="8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60" w:firstLine="490"/>
        <w:spacing w:after="0" w:line="259" w:lineRule="auto"/>
        <w:rPr>
          <w:sz w:val="20"/>
          <w:szCs w:val="20"/>
          <w:color w:val="auto"/>
        </w:rPr>
      </w:pPr>
      <w:r>
        <w:rPr>
          <w:rFonts w:ascii="Times New Roman" w:cs="Times New Roman" w:eastAsia="Times New Roman" w:hAnsi="Times New Roman"/>
          <w:sz w:val="20"/>
          <w:szCs w:val="20"/>
          <w:color w:val="1E1E1E"/>
        </w:rPr>
        <w:t>From time to time, the Company is subject to various legal proceedings and claims, which arise during the ordinary course of business. The outcomes of such matters are not expected to have a material, adverse effect on the Company’s financial position, results of operations, and/or cash flows.</w:t>
      </w:r>
    </w:p>
    <w:p>
      <w:pPr>
        <w:sectPr>
          <w:pgSz w:w="11880" w:h="15480" w:orient="portrait"/>
          <w:cols w:equalWidth="0" w:num="1">
            <w:col w:w="10000"/>
          </w:cols>
          <w:pgMar w:left="820" w:top="803" w:right="10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1E1E1E"/>
        </w:rPr>
        <w:t>F-42</w:t>
      </w:r>
    </w:p>
    <w:p>
      <w:pPr>
        <w:sectPr>
          <w:pgSz w:w="11880" w:h="15480" w:orient="portrait"/>
          <w:cols w:equalWidth="0" w:num="1">
            <w:col w:w="10000"/>
          </w:cols>
          <w:pgMar w:left="820" w:top="803" w:right="1060" w:bottom="8" w:gutter="0" w:footer="0" w:header="0"/>
          <w:type w:val="continuous"/>
        </w:sectPr>
      </w:pPr>
    </w:p>
    <w:bookmarkStart w:id="126" w:name="page127"/>
    <w:bookmarkEnd w:id="126"/>
    <w:p>
      <w:pPr>
        <w:ind w:left="500" w:hanging="492"/>
        <w:spacing w:after="0"/>
        <w:tabs>
          <w:tab w:leader="none" w:pos="500" w:val="left"/>
        </w:tabs>
        <w:numPr>
          <w:ilvl w:val="0"/>
          <w:numId w:val="5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Accumulated Other Comprehensive Income</w:t>
      </w:r>
    </w:p>
    <w:p>
      <w:pPr>
        <w:spacing w:after="0" w:line="24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1E1E1E"/>
        </w:rPr>
        <w:t>The following table summarizes the changes in accumulated balances of other comprehensive income (“AOCI”) for the years ended December 31, 2023, 2022 and 2021, respectively.</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1E1E1E"/>
              </w:rPr>
              <w:t>Foreign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280" w:type="dxa"/>
            <w:vAlign w:val="bottom"/>
          </w:tcPr>
          <w:p>
            <w:pPr>
              <w:spacing w:after="0"/>
              <w:rPr>
                <w:sz w:val="15"/>
                <w:szCs w:val="15"/>
                <w:color w:val="auto"/>
              </w:rPr>
            </w:pP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9"/>
              </w:rPr>
              <w:t>Unrealized Gain</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1E1E1E"/>
              </w:rPr>
              <w:t>Currency</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280" w:type="dxa"/>
            <w:vAlign w:val="bottom"/>
          </w:tcPr>
          <w:p>
            <w:pPr>
              <w:spacing w:after="0"/>
              <w:rPr>
                <w:sz w:val="15"/>
                <w:szCs w:val="15"/>
                <w:color w:val="auto"/>
              </w:rPr>
            </w:pP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1E1E1E"/>
                <w:w w:val="98"/>
              </w:rPr>
              <w:t>(Loss) on Cash</w:t>
            </w: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1E1E1E"/>
              </w:rPr>
              <w:t>Unrealized Loss</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9"/>
              </w:rPr>
              <w:t>Translation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0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rPr>
              <w:t>Flow Hedges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1E1E1E"/>
              </w:rPr>
              <w:t>on Investments</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rPr>
              <w:t>Adjustments</w:t>
            </w:r>
          </w:p>
        </w:tc>
        <w:tc>
          <w:tcPr>
            <w:tcW w:w="220" w:type="dxa"/>
            <w:vAlign w:val="bottom"/>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1E1E1E"/>
              </w:rPr>
              <w:t>Total</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Balances as of December 31, 2020</w:t>
            </w:r>
          </w:p>
        </w:tc>
        <w:tc>
          <w:tcPr>
            <w:tcW w:w="1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1E1E1E"/>
            </w:tcBorders>
          </w:tcPr>
          <w:p>
            <w:pPr>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1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80" w:type="dxa"/>
            <w:vAlign w:val="bottom"/>
          </w:tcPr>
          <w:p>
            <w:pPr>
              <w:spacing w:after="0"/>
              <w:rPr>
                <w:sz w:val="19"/>
                <w:szCs w:val="19"/>
                <w:color w:val="auto"/>
              </w:rPr>
            </w:pPr>
          </w:p>
        </w:tc>
        <w:tc>
          <w:tcPr>
            <w:tcW w:w="220" w:type="dxa"/>
            <w:vAlign w:val="bottom"/>
            <w:tcBorders>
              <w:top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(131)</w:t>
            </w:r>
          </w:p>
        </w:tc>
        <w:tc>
          <w:tcPr>
            <w:tcW w:w="80" w:type="dxa"/>
            <w:vAlign w:val="bottom"/>
          </w:tcPr>
          <w:p>
            <w:pPr>
              <w:spacing w:after="0"/>
              <w:rPr>
                <w:sz w:val="19"/>
                <w:szCs w:val="19"/>
                <w:color w:val="auto"/>
              </w:rPr>
            </w:pPr>
          </w:p>
        </w:tc>
      </w:tr>
      <w:tr>
        <w:trPr>
          <w:trHeight w:val="230"/>
        </w:trPr>
        <w:tc>
          <w:tcPr>
            <w:tcW w:w="42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Other comprehensive income before reclassifications</w:t>
            </w:r>
          </w:p>
        </w:tc>
        <w:tc>
          <w:tcPr>
            <w:tcW w:w="100" w:type="dxa"/>
            <w:vAlign w:val="bottom"/>
            <w:shd w:val="clear" w:color="auto" w:fill="E4E4E4"/>
          </w:tcPr>
          <w:p>
            <w:pPr>
              <w:spacing w:after="0"/>
              <w:rPr>
                <w:sz w:val="19"/>
                <w:szCs w:val="19"/>
                <w:color w:val="auto"/>
              </w:rPr>
            </w:pPr>
          </w:p>
        </w:tc>
        <w:tc>
          <w:tcPr>
            <w:tcW w:w="1200" w:type="dxa"/>
            <w:vAlign w:val="bottom"/>
            <w:gridSpan w:val="3"/>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420" w:type="dxa"/>
            <w:vAlign w:val="bottom"/>
            <w:shd w:val="clear" w:color="auto" w:fill="E4E4E4"/>
          </w:tcPr>
          <w:p>
            <w:pPr>
              <w:spacing w:after="0"/>
              <w:rPr>
                <w:sz w:val="19"/>
                <w:szCs w:val="19"/>
                <w:color w:val="auto"/>
              </w:rPr>
            </w:pPr>
          </w:p>
        </w:tc>
        <w:tc>
          <w:tcPr>
            <w:tcW w:w="7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193</w:t>
            </w:r>
          </w:p>
        </w:tc>
        <w:tc>
          <w:tcPr>
            <w:tcW w:w="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193</w:t>
            </w:r>
          </w:p>
        </w:tc>
        <w:tc>
          <w:tcPr>
            <w:tcW w:w="80" w:type="dxa"/>
            <w:vAlign w:val="bottom"/>
            <w:shd w:val="clear" w:color="auto" w:fill="E4E4E4"/>
          </w:tcPr>
          <w:p>
            <w:pPr>
              <w:spacing w:after="0"/>
              <w:rPr>
                <w:sz w:val="19"/>
                <w:szCs w:val="19"/>
                <w:color w:val="auto"/>
              </w:rPr>
            </w:pPr>
          </w:p>
        </w:tc>
      </w:tr>
      <w:tr>
        <w:trPr>
          <w:trHeight w:val="220"/>
        </w:trPr>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Balances as of December 31, 2021</w:t>
            </w:r>
          </w:p>
        </w:tc>
        <w:tc>
          <w:tcPr>
            <w:tcW w:w="1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1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w:t>
            </w:r>
          </w:p>
        </w:tc>
        <w:tc>
          <w:tcPr>
            <w:tcW w:w="80" w:type="dxa"/>
            <w:vAlign w:val="bottom"/>
          </w:tcPr>
          <w:p>
            <w:pPr>
              <w:spacing w:after="0"/>
              <w:rPr>
                <w:sz w:val="19"/>
                <w:szCs w:val="19"/>
                <w:color w:val="auto"/>
              </w:rPr>
            </w:pPr>
          </w:p>
        </w:tc>
        <w:tc>
          <w:tcPr>
            <w:tcW w:w="220" w:type="dxa"/>
            <w:vAlign w:val="bottom"/>
            <w:tcBorders>
              <w:top w:val="single" w:sz="8" w:color="1E1E1E"/>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top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w:t>
            </w:r>
          </w:p>
        </w:tc>
        <w:tc>
          <w:tcPr>
            <w:tcW w:w="80" w:type="dxa"/>
            <w:vAlign w:val="bottom"/>
          </w:tcPr>
          <w:p>
            <w:pPr>
              <w:spacing w:after="0"/>
              <w:rPr>
                <w:sz w:val="19"/>
                <w:szCs w:val="19"/>
                <w:color w:val="auto"/>
              </w:rPr>
            </w:pPr>
          </w:p>
        </w:tc>
      </w:tr>
      <w:tr>
        <w:trPr>
          <w:trHeight w:val="209"/>
        </w:trPr>
        <w:tc>
          <w:tcPr>
            <w:tcW w:w="4280" w:type="dxa"/>
            <w:vAlign w:val="bottom"/>
            <w:shd w:val="clear" w:color="auto" w:fill="E4E4E4"/>
          </w:tcPr>
          <w:p>
            <w:pPr>
              <w:spacing w:after="0" w:line="208" w:lineRule="exact"/>
              <w:rPr>
                <w:sz w:val="20"/>
                <w:szCs w:val="20"/>
                <w:color w:val="auto"/>
              </w:rPr>
            </w:pPr>
            <w:r>
              <w:rPr>
                <w:rFonts w:ascii="Times New Roman" w:cs="Times New Roman" w:eastAsia="Times New Roman" w:hAnsi="Times New Roman"/>
                <w:sz w:val="20"/>
                <w:szCs w:val="20"/>
                <w:color w:val="1E1E1E"/>
              </w:rPr>
              <w:t>Other comprehensive income (loss) before</w:t>
            </w:r>
          </w:p>
        </w:tc>
        <w:tc>
          <w:tcPr>
            <w:tcW w:w="100" w:type="dxa"/>
            <w:vAlign w:val="bottom"/>
            <w:shd w:val="clear" w:color="auto" w:fill="E4E4E4"/>
          </w:tcPr>
          <w:p>
            <w:pPr>
              <w:spacing w:after="0"/>
              <w:rPr>
                <w:sz w:val="18"/>
                <w:szCs w:val="18"/>
                <w:color w:val="auto"/>
              </w:rPr>
            </w:pPr>
          </w:p>
        </w:tc>
        <w:tc>
          <w:tcPr>
            <w:tcW w:w="11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42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51"/>
        </w:trPr>
        <w:tc>
          <w:tcPr>
            <w:tcW w:w="42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reclassifications</w:t>
            </w:r>
          </w:p>
        </w:tc>
        <w:tc>
          <w:tcPr>
            <w:tcW w:w="100" w:type="dxa"/>
            <w:vAlign w:val="bottom"/>
            <w:shd w:val="clear" w:color="auto" w:fill="E4E4E4"/>
          </w:tcPr>
          <w:p>
            <w:pPr>
              <w:spacing w:after="0"/>
              <w:rPr>
                <w:sz w:val="21"/>
                <w:szCs w:val="21"/>
                <w:color w:val="auto"/>
              </w:rPr>
            </w:pPr>
          </w:p>
        </w:tc>
        <w:tc>
          <w:tcPr>
            <w:tcW w:w="11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4,480</w:t>
            </w:r>
          </w:p>
        </w:tc>
        <w:tc>
          <w:tcPr>
            <w:tcW w:w="80" w:type="dxa"/>
            <w:vAlign w:val="bottom"/>
            <w:shd w:val="clear" w:color="auto" w:fill="E4E4E4"/>
          </w:tcPr>
          <w:p>
            <w:pPr>
              <w:spacing w:after="0"/>
              <w:rPr>
                <w:sz w:val="21"/>
                <w:szCs w:val="21"/>
                <w:color w:val="auto"/>
              </w:rPr>
            </w:pPr>
          </w:p>
        </w:tc>
        <w:tc>
          <w:tcPr>
            <w:tcW w:w="420" w:type="dxa"/>
            <w:vAlign w:val="bottom"/>
            <w:shd w:val="clear" w:color="auto" w:fill="E4E4E4"/>
          </w:tcPr>
          <w:p>
            <w:pPr>
              <w:spacing w:after="0"/>
              <w:rPr>
                <w:sz w:val="21"/>
                <w:szCs w:val="21"/>
                <w:color w:val="auto"/>
              </w:rPr>
            </w:pPr>
          </w:p>
        </w:tc>
        <w:tc>
          <w:tcPr>
            <w:tcW w:w="78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(135)</w:t>
            </w:r>
          </w:p>
        </w:tc>
        <w:tc>
          <w:tcPr>
            <w:tcW w:w="100" w:type="dxa"/>
            <w:vAlign w:val="bottom"/>
            <w:shd w:val="clear" w:color="auto" w:fill="E4E4E4"/>
          </w:tcPr>
          <w:p>
            <w:pPr>
              <w:spacing w:after="0"/>
              <w:rPr>
                <w:sz w:val="21"/>
                <w:szCs w:val="21"/>
                <w:color w:val="auto"/>
              </w:rPr>
            </w:pPr>
          </w:p>
        </w:tc>
        <w:tc>
          <w:tcPr>
            <w:tcW w:w="10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(566)</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3,779</w:t>
            </w:r>
          </w:p>
        </w:tc>
        <w:tc>
          <w:tcPr>
            <w:tcW w:w="80" w:type="dxa"/>
            <w:vAlign w:val="bottom"/>
            <w:shd w:val="clear" w:color="auto" w:fill="E4E4E4"/>
          </w:tcPr>
          <w:p>
            <w:pPr>
              <w:spacing w:after="0"/>
              <w:rPr>
                <w:sz w:val="21"/>
                <w:szCs w:val="2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1E1E1E"/>
              </w:rPr>
              <w:t>Amounts reclassified from AOCI</w:t>
            </w:r>
          </w:p>
        </w:tc>
        <w:tc>
          <w:tcPr>
            <w:tcW w:w="1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1E1E1E"/>
              </w:rPr>
              <w:t>(173)</w:t>
            </w:r>
          </w:p>
        </w:tc>
        <w:tc>
          <w:tcPr>
            <w:tcW w:w="4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(173)</w:t>
            </w:r>
          </w:p>
        </w:tc>
      </w:tr>
      <w:tr>
        <w:trPr>
          <w:trHeight w:val="220"/>
        </w:trPr>
        <w:tc>
          <w:tcPr>
            <w:tcW w:w="42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Balances as of December 31, 2022</w:t>
            </w: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4E4E4"/>
              </w:rPr>
              <w:t>$</w:t>
            </w:r>
          </w:p>
        </w:tc>
        <w:tc>
          <w:tcPr>
            <w:tcW w:w="1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4,307</w:t>
            </w:r>
          </w:p>
        </w:tc>
        <w:tc>
          <w:tcPr>
            <w:tcW w:w="20" w:type="dxa"/>
            <w:vAlign w:val="bottom"/>
            <w:tcBorders>
              <w:top w:val="single" w:sz="8" w:color="E4E4E4"/>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420" w:type="dxa"/>
            <w:vAlign w:val="bottom"/>
            <w:tcBorders>
              <w:top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(135)</w:t>
            </w:r>
          </w:p>
        </w:tc>
        <w:tc>
          <w:tcPr>
            <w:tcW w:w="10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(504)</w:t>
            </w:r>
          </w:p>
        </w:tc>
        <w:tc>
          <w:tcPr>
            <w:tcW w:w="8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3,668</w:t>
            </w:r>
          </w:p>
        </w:tc>
        <w:tc>
          <w:tcPr>
            <w:tcW w:w="80" w:type="dxa"/>
            <w:vAlign w:val="bottom"/>
            <w:tcBorders>
              <w:top w:val="single" w:sz="8" w:color="E4E4E4"/>
            </w:tcBorders>
            <w:shd w:val="clear" w:color="auto" w:fill="E4E4E4"/>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1E1E1E"/>
              </w:rPr>
              <w:t>Other comprehensive income before reclassifications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1,480</w:t>
            </w:r>
          </w:p>
        </w:tc>
        <w:tc>
          <w:tcPr>
            <w:tcW w:w="80" w:type="dxa"/>
            <w:vAlign w:val="bottom"/>
          </w:tcPr>
          <w:p>
            <w:pPr>
              <w:spacing w:after="0"/>
              <w:rPr>
                <w:sz w:val="19"/>
                <w:szCs w:val="19"/>
                <w:color w:val="auto"/>
              </w:rPr>
            </w:pPr>
          </w:p>
        </w:tc>
      </w:tr>
      <w:tr>
        <w:trPr>
          <w:trHeight w:val="230"/>
        </w:trPr>
        <w:tc>
          <w:tcPr>
            <w:tcW w:w="42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Amounts reclassified from AOCI</w:t>
            </w:r>
          </w:p>
        </w:tc>
        <w:tc>
          <w:tcPr>
            <w:tcW w:w="100" w:type="dxa"/>
            <w:vAlign w:val="bottom"/>
            <w:shd w:val="clear" w:color="auto" w:fill="E4E4E4"/>
          </w:tcPr>
          <w:p>
            <w:pPr>
              <w:spacing w:after="0"/>
              <w:rPr>
                <w:sz w:val="19"/>
                <w:szCs w:val="19"/>
                <w:color w:val="auto"/>
              </w:rPr>
            </w:pPr>
          </w:p>
        </w:tc>
        <w:tc>
          <w:tcPr>
            <w:tcW w:w="1200" w:type="dxa"/>
            <w:vAlign w:val="bottom"/>
            <w:gridSpan w:val="3"/>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(3,039)</w:t>
            </w:r>
          </w:p>
        </w:tc>
        <w:tc>
          <w:tcPr>
            <w:tcW w:w="420" w:type="dxa"/>
            <w:vAlign w:val="bottom"/>
            <w:shd w:val="clear" w:color="auto" w:fill="E4E4E4"/>
          </w:tcPr>
          <w:p>
            <w:pPr>
              <w:spacing w:after="0"/>
              <w:rPr>
                <w:sz w:val="19"/>
                <w:szCs w:val="19"/>
                <w:color w:val="auto"/>
              </w:rPr>
            </w:pPr>
          </w:p>
        </w:tc>
        <w:tc>
          <w:tcPr>
            <w:tcW w:w="78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19"/>
                <w:szCs w:val="19"/>
                <w:color w:val="auto"/>
              </w:rPr>
            </w:pPr>
          </w:p>
        </w:tc>
        <w:tc>
          <w:tcPr>
            <w:tcW w:w="10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4E4E4"/>
          </w:tcPr>
          <w:p>
            <w:pPr>
              <w:spacing w:after="0"/>
              <w:rPr>
                <w:sz w:val="19"/>
                <w:szCs w:val="19"/>
                <w:color w:val="auto"/>
              </w:rPr>
            </w:pPr>
          </w:p>
        </w:tc>
        <w:tc>
          <w:tcPr>
            <w:tcW w:w="9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(3,039)</w:t>
            </w:r>
          </w:p>
        </w:tc>
      </w:tr>
      <w:tr>
        <w:trPr>
          <w:trHeight w:val="220"/>
        </w:trPr>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Balances as of December 31, 2023</w:t>
            </w:r>
          </w:p>
        </w:tc>
        <w:tc>
          <w:tcPr>
            <w:tcW w:w="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1E1E1E"/>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96</w:t>
            </w:r>
          </w:p>
        </w:tc>
        <w:tc>
          <w:tcPr>
            <w:tcW w:w="100" w:type="dxa"/>
            <w:vAlign w:val="bottom"/>
          </w:tcPr>
          <w:p>
            <w:pPr>
              <w:spacing w:after="0"/>
              <w:rPr>
                <w:sz w:val="19"/>
                <w:szCs w:val="19"/>
                <w:color w:val="auto"/>
              </w:rPr>
            </w:pPr>
          </w:p>
        </w:tc>
        <w:tc>
          <w:tcPr>
            <w:tcW w:w="1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(374)</w:t>
            </w:r>
          </w:p>
        </w:tc>
        <w:tc>
          <w:tcPr>
            <w:tcW w:w="80" w:type="dxa"/>
            <w:vAlign w:val="bottom"/>
          </w:tcPr>
          <w:p>
            <w:pPr>
              <w:spacing w:after="0"/>
              <w:rPr>
                <w:sz w:val="19"/>
                <w:szCs w:val="19"/>
                <w:color w:val="auto"/>
              </w:rPr>
            </w:pPr>
          </w:p>
        </w:tc>
        <w:tc>
          <w:tcPr>
            <w:tcW w:w="220" w:type="dxa"/>
            <w:vAlign w:val="bottom"/>
            <w:tcBorders>
              <w:top w:val="single" w:sz="8" w:color="1E1E1E"/>
              <w:bottom w:val="single" w:sz="8" w:color="1E1E1E"/>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2,109</w:t>
            </w:r>
          </w:p>
        </w:tc>
        <w:tc>
          <w:tcPr>
            <w:tcW w:w="8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820" w:top="803" w:right="9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1E1E1E"/>
        </w:rPr>
        <w:t>F-43</w:t>
      </w:r>
    </w:p>
    <w:p>
      <w:pPr>
        <w:sectPr>
          <w:pgSz w:w="11880" w:h="15480" w:orient="portrait"/>
          <w:cols w:equalWidth="0" w:num="1">
            <w:col w:w="10080"/>
          </w:cols>
          <w:pgMar w:left="820" w:top="803" w:right="980" w:bottom="8" w:gutter="0" w:footer="0" w:header="0"/>
          <w:type w:val="continuous"/>
        </w:sectPr>
      </w:pPr>
    </w:p>
    <w:bookmarkStart w:id="127" w:name="page128"/>
    <w:bookmarkEnd w:id="127"/>
    <w:p>
      <w:pPr>
        <w:ind w:left="500" w:hanging="492"/>
        <w:spacing w:after="0"/>
        <w:tabs>
          <w:tab w:leader="none" w:pos="500" w:val="left"/>
        </w:tabs>
        <w:numPr>
          <w:ilvl w:val="0"/>
          <w:numId w:val="53"/>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Stockholders' Equity and Members' Equity</w:t>
      </w:r>
    </w:p>
    <w:p>
      <w:pPr>
        <w:spacing w:after="0" w:line="123"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The Company has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Definitive OpCo Units (directly or indirectly through AIDH Management Holdings, LLC) that are unvested shall have no vote per share until such time as such Units have vested.</w:t>
      </w:r>
    </w:p>
    <w:p>
      <w:pPr>
        <w:spacing w:after="0" w:line="77"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70"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1E1E1E"/>
        </w:rPr>
        <w:t>Class B Common Stockholders are not entitled to economic interests in Definitive Healthcare Corp. and do not have any right to receive dividends or to receive a distribution upon a liquidation or winding up of Definitive Healthcare Corp.</w:t>
      </w:r>
    </w:p>
    <w:p>
      <w:pPr>
        <w:spacing w:after="0" w:line="45"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1E1E1E"/>
        </w:rPr>
        <w:t>Shares of Preferred Stock have not been issued at December 31, 2023. The board of directors may authorize one or more series of Preferred Stock (including convertible Preferred Stock) and will determine, with respect to any series of Preferred Stock, the voting rights, preferences, participation, or other special right and limitations.</w:t>
      </w:r>
    </w:p>
    <w:p>
      <w:pPr>
        <w:spacing w:after="0" w:line="65" w:lineRule="exact"/>
        <w:rPr>
          <w:sz w:val="20"/>
          <w:szCs w:val="20"/>
          <w:color w:val="auto"/>
        </w:rPr>
      </w:pPr>
    </w:p>
    <w:p>
      <w:pPr>
        <w:jc w:val="both"/>
        <w:ind w:right="120" w:firstLine="490"/>
        <w:spacing w:after="0" w:line="253" w:lineRule="auto"/>
        <w:rPr>
          <w:sz w:val="20"/>
          <w:szCs w:val="20"/>
          <w:color w:val="auto"/>
        </w:rPr>
      </w:pPr>
      <w:r>
        <w:rPr>
          <w:rFonts w:ascii="Times New Roman" w:cs="Times New Roman" w:eastAsia="Times New Roman" w:hAnsi="Times New Roman"/>
          <w:sz w:val="20"/>
          <w:szCs w:val="20"/>
          <w:color w:val="1E1E1E"/>
        </w:rPr>
        <w:t>Under the Amended Definitive OpCo LLC Agreement, the holders of LLC Units other than Definitive Healthcare Corp. (“LLC Members”) have the right to redeem or exchange all or a portion of their LLC Units for newly issued shares of Class A Common Stock, which may consist of unregistered shares, on a one-for-one basis. Shares of Class B Common Stock and their corresponding LLC Units will be canceled on a one-for-one basis once an exchange has been completed.</w:t>
      </w:r>
    </w:p>
    <w:p>
      <w:pPr>
        <w:spacing w:after="0" w:line="70"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20"/>
          <w:szCs w:val="20"/>
          <w:color w:val="1E1E1E"/>
        </w:rPr>
        <w:t>Upon formation of Definitive OpCo in conjunction with the Advent Acquisition in July 2019, two classes of LLC units were established: Class A Units (“Class A Units”) and Class B Units (“Class B Units”), collectively “the Units”.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The table below provides a summary of the number of Units authorized, issued and outstanding as of December 31,</w:t>
      </w:r>
    </w:p>
    <w:p>
      <w:pPr>
        <w:spacing w:after="0"/>
        <w:rPr>
          <w:sz w:val="20"/>
          <w:szCs w:val="20"/>
          <w:color w:val="auto"/>
        </w:rPr>
      </w:pPr>
      <w:r>
        <w:rPr>
          <w:rFonts w:ascii="Times New Roman" w:cs="Times New Roman" w:eastAsia="Times New Roman" w:hAnsi="Times New Roman"/>
          <w:sz w:val="20"/>
          <w:szCs w:val="20"/>
          <w:color w:val="1E1E1E"/>
        </w:rPr>
        <w:t>2020: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tcBorders>
              <w:bottom w:val="single" w:sz="8" w:color="E4E4E4"/>
            </w:tcBorders>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1780" w:type="dxa"/>
            <w:vAlign w:val="bottom"/>
            <w:tcBorders>
              <w:bottom w:val="single" w:sz="8" w:color="1E1E1E"/>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1E1E1E"/>
              </w:rPr>
              <w:t>December 31, 2020</w:t>
            </w:r>
          </w:p>
        </w:tc>
        <w:tc>
          <w:tcPr>
            <w:tcW w:w="100" w:type="dxa"/>
            <w:vAlign w:val="bottom"/>
            <w:tcBorders>
              <w:bottom w:val="single" w:sz="8" w:color="E4E4E4"/>
            </w:tcBorders>
          </w:tcPr>
          <w:p>
            <w:pPr>
              <w:spacing w:after="0"/>
              <w:rPr>
                <w:sz w:val="17"/>
                <w:szCs w:val="17"/>
                <w:color w:val="auto"/>
              </w:rPr>
            </w:pPr>
          </w:p>
        </w:tc>
      </w:tr>
      <w:tr>
        <w:trPr>
          <w:trHeight w:val="220"/>
        </w:trPr>
        <w:tc>
          <w:tcPr>
            <w:tcW w:w="8220" w:type="dxa"/>
            <w:vAlign w:val="bottom"/>
            <w:shd w:val="clear" w:color="auto" w:fill="E4E4E4"/>
          </w:tcPr>
          <w:p>
            <w:pPr>
              <w:ind w:left="60"/>
              <w:spacing w:after="0" w:line="220" w:lineRule="exact"/>
              <w:rPr>
                <w:sz w:val="20"/>
                <w:szCs w:val="20"/>
                <w:color w:val="auto"/>
              </w:rPr>
            </w:pPr>
            <w:r>
              <w:rPr>
                <w:rFonts w:ascii="Times New Roman" w:cs="Times New Roman" w:eastAsia="Times New Roman" w:hAnsi="Times New Roman"/>
                <w:sz w:val="20"/>
                <w:szCs w:val="20"/>
                <w:color w:val="1E1E1E"/>
              </w:rPr>
              <w:t>Class A Units:</w:t>
            </w:r>
          </w:p>
        </w:tc>
        <w:tc>
          <w:tcPr>
            <w:tcW w:w="140" w:type="dxa"/>
            <w:vAlign w:val="bottom"/>
            <w:shd w:val="clear" w:color="auto" w:fill="E4E4E4"/>
          </w:tcPr>
          <w:p>
            <w:pPr>
              <w:spacing w:after="0"/>
              <w:rPr>
                <w:sz w:val="19"/>
                <w:szCs w:val="19"/>
                <w:color w:val="auto"/>
              </w:rPr>
            </w:pPr>
          </w:p>
        </w:tc>
        <w:tc>
          <w:tcPr>
            <w:tcW w:w="17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Authorized, issued and outstanding Class A Units</w:t>
            </w: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130,245,990</w:t>
            </w:r>
          </w:p>
        </w:tc>
        <w:tc>
          <w:tcPr>
            <w:tcW w:w="100" w:type="dxa"/>
            <w:vAlign w:val="bottom"/>
          </w:tcPr>
          <w:p>
            <w:pPr>
              <w:spacing w:after="0"/>
              <w:rPr>
                <w:sz w:val="19"/>
                <w:szCs w:val="19"/>
                <w:color w:val="auto"/>
              </w:rPr>
            </w:pPr>
          </w:p>
        </w:tc>
      </w:tr>
      <w:tr>
        <w:trPr>
          <w:trHeight w:val="230"/>
        </w:trPr>
        <w:tc>
          <w:tcPr>
            <w:tcW w:w="8220" w:type="dxa"/>
            <w:vAlign w:val="bottom"/>
            <w:shd w:val="clear" w:color="auto" w:fill="E4E4E4"/>
          </w:tcPr>
          <w:p>
            <w:pPr>
              <w:ind w:left="60"/>
              <w:spacing w:after="0"/>
              <w:rPr>
                <w:sz w:val="20"/>
                <w:szCs w:val="20"/>
                <w:color w:val="auto"/>
              </w:rPr>
            </w:pPr>
            <w:r>
              <w:rPr>
                <w:rFonts w:ascii="Times New Roman" w:cs="Times New Roman" w:eastAsia="Times New Roman" w:hAnsi="Times New Roman"/>
                <w:sz w:val="20"/>
                <w:szCs w:val="20"/>
                <w:color w:val="1E1E1E"/>
              </w:rPr>
              <w:t>Class B Units:</w:t>
            </w:r>
          </w:p>
        </w:tc>
        <w:tc>
          <w:tcPr>
            <w:tcW w:w="140" w:type="dxa"/>
            <w:vAlign w:val="bottom"/>
            <w:shd w:val="clear" w:color="auto" w:fill="E4E4E4"/>
          </w:tcPr>
          <w:p>
            <w:pPr>
              <w:spacing w:after="0"/>
              <w:rPr>
                <w:sz w:val="19"/>
                <w:szCs w:val="19"/>
                <w:color w:val="auto"/>
              </w:rPr>
            </w:pPr>
          </w:p>
        </w:tc>
        <w:tc>
          <w:tcPr>
            <w:tcW w:w="17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Authorized Class B Units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8,088,877</w:t>
            </w:r>
          </w:p>
        </w:tc>
        <w:tc>
          <w:tcPr>
            <w:tcW w:w="100" w:type="dxa"/>
            <w:vAlign w:val="bottom"/>
          </w:tcPr>
          <w:p>
            <w:pPr>
              <w:spacing w:after="0"/>
              <w:rPr>
                <w:sz w:val="19"/>
                <w:szCs w:val="19"/>
                <w:color w:val="auto"/>
              </w:rPr>
            </w:pPr>
          </w:p>
        </w:tc>
      </w:tr>
      <w:tr>
        <w:trPr>
          <w:trHeight w:val="230"/>
        </w:trPr>
        <w:tc>
          <w:tcPr>
            <w:tcW w:w="8220" w:type="dxa"/>
            <w:vAlign w:val="bottom"/>
            <w:shd w:val="clear" w:color="auto" w:fill="E4E4E4"/>
          </w:tcPr>
          <w:p>
            <w:pPr>
              <w:ind w:left="160"/>
              <w:spacing w:after="0"/>
              <w:rPr>
                <w:sz w:val="20"/>
                <w:szCs w:val="20"/>
                <w:color w:val="auto"/>
              </w:rPr>
            </w:pPr>
            <w:r>
              <w:rPr>
                <w:rFonts w:ascii="Times New Roman" w:cs="Times New Roman" w:eastAsia="Times New Roman" w:hAnsi="Times New Roman"/>
                <w:sz w:val="20"/>
                <w:szCs w:val="20"/>
                <w:color w:val="1E1E1E"/>
              </w:rPr>
              <w:t>Issued Class B Units</w:t>
            </w:r>
          </w:p>
        </w:tc>
        <w:tc>
          <w:tcPr>
            <w:tcW w:w="19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3,720,063</w:t>
            </w:r>
          </w:p>
        </w:tc>
        <w:tc>
          <w:tcPr>
            <w:tcW w:w="100" w:type="dxa"/>
            <w:vAlign w:val="bottom"/>
            <w:shd w:val="clear" w:color="auto" w:fill="E4E4E4"/>
          </w:tcPr>
          <w:p>
            <w:pPr>
              <w:spacing w:after="0"/>
              <w:rPr>
                <w:sz w:val="19"/>
                <w:szCs w:val="19"/>
                <w:color w:val="auto"/>
              </w:rPr>
            </w:pPr>
          </w:p>
        </w:tc>
      </w:tr>
      <w:tr>
        <w:trPr>
          <w:trHeight w:val="268"/>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Outstanding Class B Units (vested Class B Units)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474,920</w:t>
            </w:r>
          </w:p>
        </w:tc>
        <w:tc>
          <w:tcPr>
            <w:tcW w:w="100" w:type="dxa"/>
            <w:vAlign w:val="bottom"/>
          </w:tcPr>
          <w:p>
            <w:pPr>
              <w:spacing w:after="0"/>
              <w:rPr>
                <w:sz w:val="23"/>
                <w:szCs w:val="23"/>
                <w:color w:val="auto"/>
              </w:rPr>
            </w:pPr>
          </w:p>
        </w:tc>
      </w:tr>
    </w:tbl>
    <w:p>
      <w:pPr>
        <w:spacing w:after="0" w:line="61"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In 2021, the Company issued 363,516 new Class A Units worth $5.8 million, consisting of a capital contribution of $5.5 million and equity-based compensation expense of $0.3 million. In connection with the Reorganization Transactions and the IPO in September 2021, Class A Units held directly by employees of the Company or indirectly through Definitive OpCo were exchanged on a one-for-one basis for Definitive OpCo LLC Units.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 xml:space="preserve">Refer to Note 17. </w:t>
      </w:r>
      <w:r>
        <w:rPr>
          <w:rFonts w:ascii="Times New Roman" w:cs="Times New Roman" w:eastAsia="Times New Roman" w:hAnsi="Times New Roman"/>
          <w:sz w:val="20"/>
          <w:szCs w:val="20"/>
          <w:i w:val="1"/>
          <w:iCs w:val="1"/>
          <w:color w:val="1E1E1E"/>
        </w:rPr>
        <w:t>Equity-Based Compensation</w:t>
      </w:r>
      <w:r>
        <w:rPr>
          <w:rFonts w:ascii="Times New Roman" w:cs="Times New Roman" w:eastAsia="Times New Roman" w:hAnsi="Times New Roman"/>
          <w:sz w:val="20"/>
          <w:szCs w:val="20"/>
          <w:color w:val="1E1E1E"/>
        </w:rPr>
        <w:t xml:space="preserve"> for further information on Class B Units.</w:t>
      </w:r>
    </w:p>
    <w:p>
      <w:pPr>
        <w:sectPr>
          <w:pgSz w:w="11880" w:h="15480" w:orient="portrait"/>
          <w:cols w:equalWidth="0" w:num="1">
            <w:col w:w="10240"/>
          </w:cols>
          <w:pgMar w:left="820" w:top="803"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F-44</w:t>
      </w:r>
    </w:p>
    <w:p>
      <w:pPr>
        <w:sectPr>
          <w:pgSz w:w="11880" w:h="15480" w:orient="portrait"/>
          <w:cols w:equalWidth="0" w:num="1">
            <w:col w:w="10240"/>
          </w:cols>
          <w:pgMar w:left="820" w:top="803" w:right="820" w:bottom="8"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i w:val="1"/>
          <w:iCs w:val="1"/>
          <w:color w:val="1E1E1E"/>
        </w:rPr>
        <w:t>Noncontrolling Interest</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E1E1E"/>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consolidated balance sheets.</w:t>
      </w:r>
    </w:p>
    <w:p>
      <w:pPr>
        <w:spacing w:after="0" w:line="8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E1E1E"/>
        </w:rPr>
        <w:t>During the year ended December 31, 2023, 10,562,033 Definitive OpCo Units held by Continuing Pre-IPO LLC Members were exchanged for shares of Class A Common Stock of Definitive Healthcare Corp. pursuant to the terms of the Amended LLC Agreement. In addition, 1,300,786 restricted stock units vested and 438,840 shares were withheld to cover withholding tax obligations, resulting in the net issuance of 861,946 shares of Class A Common Stock of Definitive Healthcare Corp., for which LLC Units were issued on a one-for-one basis pursuant to the Definitive OpCo second amended and restated limited liability company agreement entered into in connection with the IPO.</w:t>
      </w:r>
    </w:p>
    <w:p>
      <w:pPr>
        <w:spacing w:after="0" w:line="80"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As of December 31, 2023 and 2022, Definitive Healthcare Corp. held ownership interests in Definitive OpCo of 74.9% and 68.2%, respectively, and noncontrolling interests of 25.1% and 31.8%, respectively.</w:t>
      </w:r>
    </w:p>
    <w:p>
      <w:pPr>
        <w:sectPr>
          <w:pgSz w:w="11880" w:h="15480" w:orient="portrait"/>
          <w:cols w:equalWidth="0" w:num="1">
            <w:col w:w="10220"/>
          </w:cols>
          <w:pgMar w:left="820" w:top="808"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F-45</w:t>
      </w:r>
    </w:p>
    <w:p>
      <w:pPr>
        <w:sectPr>
          <w:pgSz w:w="11880" w:h="15480" w:orient="portrait"/>
          <w:cols w:equalWidth="0" w:num="1">
            <w:col w:w="10220"/>
          </w:cols>
          <w:pgMar w:left="820" w:top="808" w:right="840" w:bottom="8" w:gutter="0" w:footer="0" w:header="0"/>
          <w:type w:val="continuous"/>
        </w:sectPr>
      </w:pPr>
    </w:p>
    <w:bookmarkStart w:id="129" w:name="page130"/>
    <w:bookmarkEnd w:id="129"/>
    <w:p>
      <w:pPr>
        <w:ind w:left="500" w:hanging="492"/>
        <w:spacing w:after="0"/>
        <w:tabs>
          <w:tab w:leader="none" w:pos="500" w:val="left"/>
        </w:tabs>
        <w:numPr>
          <w:ilvl w:val="0"/>
          <w:numId w:val="5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Equity-Based Compensation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2021 Incentive Equity Plan</w:t>
      </w:r>
    </w:p>
    <w:p>
      <w:pPr>
        <w:spacing w:after="0" w:line="11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spacing w:after="0" w:line="65"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The aggregate number of shares of Class A Common Stock available for grant under the 2021 Plan was 7,284,174 shares at December 31, 2023. The outstanding RSUs granted under this plan have time-based and/or performance-based vesting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Time-Based RSUs</w:t>
      </w:r>
    </w:p>
    <w:p>
      <w:pPr>
        <w:spacing w:after="0" w:line="120"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20"/>
          <w:szCs w:val="20"/>
          <w:color w:val="1E1E1E"/>
        </w:rPr>
        <w:t>Outstanding time-based RSUs granted under the 2021 Plan generally vest partially on the one-year anniversary of each grant and quarterly over the subsequent two- or three-year period.</w:t>
      </w:r>
    </w:p>
    <w:p>
      <w:pPr>
        <w:spacing w:after="0" w:line="45"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1E1E1E"/>
        </w:rPr>
        <w:t>In connection with the restructuring plans announced in the first and third quarters of 2023, along with the departure of two management-level employees during the year, the Company accelerated the vesting of 99,662 previously unvested time-based RSUs. The incremental stock-based compensation expense resulting from the modifications was not material and any unvested time-based RSUs and PSUs held by the individuals were forfeited upon separation. None of the previously unvested PSUs were accelerated.</w:t>
      </w:r>
    </w:p>
    <w:p>
      <w:pPr>
        <w:spacing w:after="0" w:line="77"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1E1E1E"/>
        </w:rPr>
        <w:t>Similarly, during the fourth quarter of 2022, in connection with the departure of two management-level employees, the Company accelerated the vesting of 6,772 previously unvested time-based RSUs. The incremental stock-based compensation expense resulting from the modifications was not material and any unvested time-based RSUs and PSUs held by the individuals were forfeited upon separation. None of the previously unvested PSUs were accelerated.</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summarizes the Company's unvested time-based activity for the years ended December 31, 2023 and</w:t>
      </w:r>
    </w:p>
    <w:p>
      <w:pPr>
        <w:spacing w:after="0"/>
        <w:rPr>
          <w:sz w:val="20"/>
          <w:szCs w:val="20"/>
          <w:color w:val="auto"/>
        </w:rPr>
      </w:pPr>
      <w:r>
        <w:rPr>
          <w:rFonts w:ascii="Times New Roman" w:cs="Times New Roman" w:eastAsia="Times New Roman" w:hAnsi="Times New Roman"/>
          <w:sz w:val="20"/>
          <w:szCs w:val="20"/>
          <w:color w:val="1E1E1E"/>
        </w:rPr>
        <w:t>2022:</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1E1E1E"/>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140" w:type="dxa"/>
            <w:vAlign w:val="bottom"/>
            <w:tcBorders>
              <w:top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1E1E1E"/>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160" w:type="dxa"/>
            <w:vAlign w:val="bottom"/>
            <w:tcBorders>
              <w:top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66"/>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1E1E1E"/>
            </w:tcBorders>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1140" w:type="dxa"/>
            <w:vAlign w:val="bottom"/>
            <w:tcBorders>
              <w:top w:val="single" w:sz="8" w:color="1E1E1E"/>
            </w:tcBorders>
          </w:tcPr>
          <w:p>
            <w:pPr>
              <w:jc w:val="center"/>
              <w:ind w:right="26"/>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1E1E1E"/>
            </w:tcBorders>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1160" w:type="dxa"/>
            <w:vAlign w:val="bottom"/>
            <w:tcBorders>
              <w:top w:val="single" w:sz="8" w:color="1E1E1E"/>
            </w:tcBorders>
          </w:tcPr>
          <w:p>
            <w:pPr>
              <w:jc w:val="center"/>
              <w:ind w:right="6"/>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00" w:type="dxa"/>
            <w:vAlign w:val="bottom"/>
          </w:tcPr>
          <w:p>
            <w:pPr>
              <w:spacing w:after="0"/>
              <w:rPr>
                <w:sz w:val="14"/>
                <w:szCs w:val="14"/>
                <w:color w:val="auto"/>
              </w:rPr>
            </w:pPr>
          </w:p>
        </w:tc>
      </w:tr>
      <w:tr>
        <w:trPr>
          <w:trHeight w:val="184"/>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1E1E1E"/>
              </w:rPr>
              <w:t>Restricted</w:t>
            </w:r>
          </w:p>
        </w:tc>
        <w:tc>
          <w:tcPr>
            <w:tcW w:w="100" w:type="dxa"/>
            <w:vAlign w:val="bottom"/>
          </w:tcPr>
          <w:p>
            <w:pPr>
              <w:spacing w:after="0"/>
              <w:rPr>
                <w:sz w:val="15"/>
                <w:szCs w:val="15"/>
                <w:color w:val="auto"/>
              </w:rPr>
            </w:pPr>
          </w:p>
        </w:tc>
        <w:tc>
          <w:tcPr>
            <w:tcW w:w="1140" w:type="dxa"/>
            <w:vAlign w:val="bottom"/>
          </w:tcPr>
          <w:p>
            <w:pPr>
              <w:jc w:val="center"/>
              <w:ind w:right="26"/>
              <w:spacing w:after="0"/>
              <w:rPr>
                <w:sz w:val="20"/>
                <w:szCs w:val="20"/>
                <w:color w:val="auto"/>
              </w:rPr>
            </w:pPr>
            <w:r>
              <w:rPr>
                <w:rFonts w:ascii="Times New Roman" w:cs="Times New Roman" w:eastAsia="Times New Roman" w:hAnsi="Times New Roman"/>
                <w:sz w:val="16"/>
                <w:szCs w:val="16"/>
                <w:b w:val="1"/>
                <w:bCs w:val="1"/>
                <w:color w:val="1E1E1E"/>
                <w:w w:val="99"/>
              </w:rPr>
              <w:t>Average Grant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1E1E1E"/>
              </w:rPr>
              <w:t>Restricted</w:t>
            </w:r>
          </w:p>
        </w:tc>
        <w:tc>
          <w:tcPr>
            <w:tcW w:w="100" w:type="dxa"/>
            <w:vAlign w:val="bottom"/>
          </w:tcPr>
          <w:p>
            <w:pPr>
              <w:spacing w:after="0"/>
              <w:rPr>
                <w:sz w:val="15"/>
                <w:szCs w:val="15"/>
                <w:color w:val="auto"/>
              </w:rPr>
            </w:pPr>
          </w:p>
        </w:tc>
        <w:tc>
          <w:tcPr>
            <w:tcW w:w="116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1E1E1E"/>
                <w:w w:val="99"/>
              </w:rPr>
              <w:t>Average Grant</w:t>
            </w:r>
          </w:p>
        </w:tc>
        <w:tc>
          <w:tcPr>
            <w:tcW w:w="100" w:type="dxa"/>
            <w:vAlign w:val="bottom"/>
          </w:tcPr>
          <w:p>
            <w:pPr>
              <w:spacing w:after="0"/>
              <w:rPr>
                <w:sz w:val="15"/>
                <w:szCs w:val="15"/>
                <w:color w:val="auto"/>
              </w:rPr>
            </w:pPr>
          </w:p>
        </w:tc>
      </w:tr>
      <w:tr>
        <w:trPr>
          <w:trHeight w:val="204"/>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1E1E1E"/>
              </w:rPr>
              <w:t>Stock Units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Date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1E1E1E"/>
              </w:rPr>
              <w:t>Stock Units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E1E1E"/>
              </w:rPr>
              <w:t>Date Fair Value</w:t>
            </w:r>
          </w:p>
        </w:tc>
        <w:tc>
          <w:tcPr>
            <w:tcW w:w="100" w:type="dxa"/>
            <w:vAlign w:val="bottom"/>
          </w:tcPr>
          <w:p>
            <w:pPr>
              <w:spacing w:after="0"/>
              <w:rPr>
                <w:sz w:val="17"/>
                <w:szCs w:val="17"/>
                <w:color w:val="auto"/>
              </w:rPr>
            </w:pPr>
          </w:p>
        </w:tc>
      </w:tr>
      <w:tr>
        <w:trPr>
          <w:trHeight w:val="220"/>
        </w:trPr>
        <w:tc>
          <w:tcPr>
            <w:tcW w:w="33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beginning of year</w:t>
            </w:r>
          </w:p>
        </w:tc>
        <w:tc>
          <w:tcPr>
            <w:tcW w:w="100" w:type="dxa"/>
            <w:vAlign w:val="bottom"/>
            <w:tcBorders>
              <w:top w:val="single" w:sz="8" w:color="E4E4E4"/>
            </w:tcBorders>
            <w:shd w:val="clear" w:color="auto" w:fill="E4E4E4"/>
          </w:tcPr>
          <w:p>
            <w:pPr>
              <w:spacing w:after="0"/>
              <w:rPr>
                <w:sz w:val="19"/>
                <w:szCs w:val="19"/>
                <w:color w:val="auto"/>
              </w:rPr>
            </w:pPr>
          </w:p>
        </w:tc>
        <w:tc>
          <w:tcPr>
            <w:tcW w:w="12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3,438,387</w:t>
            </w:r>
          </w:p>
        </w:tc>
        <w:tc>
          <w:tcPr>
            <w:tcW w:w="2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24.82</w:t>
            </w:r>
          </w:p>
        </w:tc>
        <w:tc>
          <w:tcPr>
            <w:tcW w:w="10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128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1,935,899</w:t>
            </w:r>
          </w:p>
        </w:tc>
        <w:tc>
          <w:tcPr>
            <w:tcW w:w="2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32.59</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1E1E1E"/>
              </w:rPr>
              <w:t>Granted</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3,318,889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2,457,991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20.27</w:t>
            </w:r>
          </w:p>
        </w:tc>
        <w:tc>
          <w:tcPr>
            <w:tcW w:w="100" w:type="dxa"/>
            <w:vAlign w:val="bottom"/>
          </w:tcPr>
          <w:p>
            <w:pPr>
              <w:spacing w:after="0"/>
              <w:rPr>
                <w:sz w:val="19"/>
                <w:szCs w:val="19"/>
                <w:color w:val="auto"/>
              </w:rPr>
            </w:pPr>
          </w:p>
        </w:tc>
      </w:tr>
      <w:tr>
        <w:trPr>
          <w:trHeight w:val="230"/>
        </w:trPr>
        <w:tc>
          <w:tcPr>
            <w:tcW w:w="33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Vested</w:t>
            </w:r>
          </w:p>
        </w:tc>
        <w:tc>
          <w:tcPr>
            <w:tcW w:w="1620" w:type="dxa"/>
            <w:vAlign w:val="bottom"/>
            <w:gridSpan w:val="3"/>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(1,300,786)</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23.91</w:t>
            </w:r>
          </w:p>
        </w:tc>
        <w:tc>
          <w:tcPr>
            <w:tcW w:w="1720" w:type="dxa"/>
            <w:vAlign w:val="bottom"/>
            <w:gridSpan w:val="4"/>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(716,776)</w:t>
            </w: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29.86</w:t>
            </w:r>
          </w:p>
        </w:tc>
        <w:tc>
          <w:tcPr>
            <w:tcW w:w="100" w:type="dxa"/>
            <w:vAlign w:val="bottom"/>
            <w:shd w:val="clear" w:color="auto" w:fill="E4E4E4"/>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1E1E1E"/>
              </w:rPr>
              <w:t>Forfeited</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1E1E1E"/>
              </w:rPr>
              <w:t>(535,023)</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18.48</w:t>
            </w:r>
          </w:p>
        </w:tc>
        <w:tc>
          <w:tcPr>
            <w:tcW w:w="172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color w:val="1E1E1E"/>
              </w:rPr>
              <w:t>(238,727)</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25.51</w:t>
            </w:r>
          </w:p>
        </w:tc>
        <w:tc>
          <w:tcPr>
            <w:tcW w:w="100" w:type="dxa"/>
            <w:vAlign w:val="bottom"/>
          </w:tcPr>
          <w:p>
            <w:pPr>
              <w:spacing w:after="0"/>
              <w:rPr>
                <w:sz w:val="19"/>
                <w:szCs w:val="19"/>
                <w:color w:val="auto"/>
              </w:rPr>
            </w:pPr>
          </w:p>
        </w:tc>
      </w:tr>
      <w:tr>
        <w:trPr>
          <w:trHeight w:val="220"/>
        </w:trPr>
        <w:tc>
          <w:tcPr>
            <w:tcW w:w="33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end of year</w:t>
            </w:r>
          </w:p>
        </w:tc>
        <w:tc>
          <w:tcPr>
            <w:tcW w:w="100" w:type="dxa"/>
            <w:vAlign w:val="bottom"/>
            <w:tcBorders>
              <w:top w:val="single" w:sz="8" w:color="E4E4E4"/>
            </w:tcBorders>
            <w:shd w:val="clear" w:color="auto" w:fill="E4E4E4"/>
          </w:tcPr>
          <w:p>
            <w:pPr>
              <w:spacing w:after="0"/>
              <w:rPr>
                <w:sz w:val="19"/>
                <w:szCs w:val="19"/>
                <w:color w:val="auto"/>
              </w:rPr>
            </w:pPr>
          </w:p>
        </w:tc>
        <w:tc>
          <w:tcPr>
            <w:tcW w:w="128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4,921,467</w:t>
            </w:r>
          </w:p>
        </w:tc>
        <w:tc>
          <w:tcPr>
            <w:tcW w:w="2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top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17.32</w:t>
            </w:r>
          </w:p>
        </w:tc>
        <w:tc>
          <w:tcPr>
            <w:tcW w:w="10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128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3,438,387</w:t>
            </w:r>
          </w:p>
        </w:tc>
        <w:tc>
          <w:tcPr>
            <w:tcW w:w="2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24.82</w:t>
            </w:r>
          </w:p>
        </w:tc>
        <w:tc>
          <w:tcPr>
            <w:tcW w:w="100" w:type="dxa"/>
            <w:vAlign w:val="bottom"/>
            <w:tcBorders>
              <w:top w:val="single" w:sz="8" w:color="E4E4E4"/>
            </w:tcBorders>
            <w:shd w:val="clear" w:color="auto" w:fill="E4E4E4"/>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Performance-Based RSUs (“PSUs”)</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1E1E1E"/>
        </w:rPr>
        <w:t>The Company periodically grants PSUs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Those PSUs without market-based vesting conditions vest annually over three years subject to the achievement of certain performance targets and continued service. Expense for these awards is recognized when it becomes probable that performance measures triggering vesting will be achieved.</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E1E1E"/>
        </w:rPr>
        <w:t>In May 2022, the Company granted PSUs to a former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 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F-46</w:t>
      </w:r>
    </w:p>
    <w:p>
      <w:pPr>
        <w:sectPr>
          <w:pgSz w:w="11880" w:h="15480" w:orient="portrait"/>
          <w:cols w:equalWidth="0" w:num="1">
            <w:col w:w="10220"/>
          </w:cols>
          <w:pgMar w:left="820" w:top="803" w:right="840" w:bottom="8" w:gutter="0" w:footer="0" w:header="0"/>
          <w:type w:val="continuous"/>
        </w:sectPr>
      </w:pPr>
    </w:p>
    <w:bookmarkStart w:id="130" w:name="page131"/>
    <w:bookmarkEnd w:id="130"/>
    <w:p>
      <w:pPr>
        <w:ind w:left="500"/>
        <w:spacing w:after="0"/>
        <w:rPr>
          <w:sz w:val="20"/>
          <w:szCs w:val="20"/>
          <w:color w:val="auto"/>
        </w:rPr>
      </w:pPr>
      <w:r>
        <w:rPr>
          <w:rFonts w:ascii="Times New Roman" w:cs="Times New Roman" w:eastAsia="Times New Roman" w:hAnsi="Times New Roman"/>
          <w:sz w:val="20"/>
          <w:szCs w:val="20"/>
          <w:color w:val="1E1E1E"/>
        </w:rPr>
        <w:t>The following table summarizes the Company's unvested PSU activity for the years ended December 31, 2023 and 2022:</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1E1E1E"/>
            </w:tcBorders>
            <w:gridSpan w:val="3"/>
          </w:tcPr>
          <w:p>
            <w:pPr>
              <w:jc w:val="right"/>
              <w:ind w:right="4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940" w:type="dxa"/>
            <w:vAlign w:val="bottom"/>
            <w:tcBorders>
              <w:top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1E1E1E"/>
            </w:tcBorders>
            <w:gridSpan w:val="4"/>
          </w:tcPr>
          <w:p>
            <w:pPr>
              <w:jc w:val="right"/>
              <w:ind w:right="4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940" w:type="dxa"/>
            <w:vAlign w:val="bottom"/>
            <w:tcBorders>
              <w:top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66"/>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1E1E1E"/>
            </w:tcBorders>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940" w:type="dxa"/>
            <w:vAlign w:val="bottom"/>
            <w:tcBorders>
              <w:top w:val="single" w:sz="8" w:color="1E1E1E"/>
            </w:tcBorders>
          </w:tcPr>
          <w:p>
            <w:pPr>
              <w:jc w:val="right"/>
              <w:ind w:right="124"/>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1E1E1E"/>
            </w:tcBorders>
          </w:tcPr>
          <w:p>
            <w:pPr>
              <w:spacing w:after="0"/>
              <w:rPr>
                <w:sz w:val="14"/>
                <w:szCs w:val="14"/>
                <w:color w:val="auto"/>
              </w:rPr>
            </w:pPr>
          </w:p>
        </w:tc>
        <w:tc>
          <w:tcPr>
            <w:tcW w:w="220" w:type="dxa"/>
            <w:vAlign w:val="bottom"/>
            <w:tcBorders>
              <w:top w:val="single" w:sz="8" w:color="1E1E1E"/>
            </w:tcBorders>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940" w:type="dxa"/>
            <w:vAlign w:val="bottom"/>
            <w:tcBorders>
              <w:top w:val="single" w:sz="8" w:color="1E1E1E"/>
            </w:tcBorders>
          </w:tcPr>
          <w:p>
            <w:pPr>
              <w:jc w:val="right"/>
              <w:ind w:right="124"/>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00" w:type="dxa"/>
            <w:vAlign w:val="bottom"/>
          </w:tcPr>
          <w:p>
            <w:pPr>
              <w:spacing w:after="0"/>
              <w:rPr>
                <w:sz w:val="14"/>
                <w:szCs w:val="14"/>
                <w:color w:val="auto"/>
              </w:rPr>
            </w:pPr>
          </w:p>
        </w:tc>
      </w:tr>
      <w:tr>
        <w:trPr>
          <w:trHeight w:val="184"/>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9"/>
              </w:rPr>
              <w:t>Restricted</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1E1E1E"/>
              </w:rPr>
              <w:t>Average Grant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1E1E1E"/>
              </w:rPr>
              <w:t>Restricted</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1E1E1E"/>
              </w:rPr>
              <w:t>Average Grant</w:t>
            </w:r>
          </w:p>
        </w:tc>
        <w:tc>
          <w:tcPr>
            <w:tcW w:w="100" w:type="dxa"/>
            <w:vAlign w:val="bottom"/>
          </w:tcPr>
          <w:p>
            <w:pPr>
              <w:spacing w:after="0"/>
              <w:rPr>
                <w:sz w:val="15"/>
                <w:szCs w:val="15"/>
                <w:color w:val="auto"/>
              </w:rPr>
            </w:pPr>
          </w:p>
        </w:tc>
      </w:tr>
      <w:tr>
        <w:trPr>
          <w:trHeight w:val="204"/>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9"/>
              </w:rPr>
              <w:t>Stock Units</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E1E1E"/>
                <w:w w:val="98"/>
              </w:rPr>
              <w:t>Date Fair Value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rPr>
              <w:t>Stock Units</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E1E1E"/>
                <w:w w:val="98"/>
              </w:rPr>
              <w:t>Date Fair Value</w:t>
            </w:r>
          </w:p>
        </w:tc>
        <w:tc>
          <w:tcPr>
            <w:tcW w:w="100" w:type="dxa"/>
            <w:vAlign w:val="bottom"/>
          </w:tcPr>
          <w:p>
            <w:pPr>
              <w:spacing w:after="0"/>
              <w:rPr>
                <w:sz w:val="17"/>
                <w:szCs w:val="17"/>
                <w:color w:val="auto"/>
              </w:rPr>
            </w:pPr>
          </w:p>
        </w:tc>
      </w:tr>
      <w:tr>
        <w:trPr>
          <w:trHeight w:val="220"/>
        </w:trPr>
        <w:tc>
          <w:tcPr>
            <w:tcW w:w="38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beginning of year</w:t>
            </w:r>
          </w:p>
        </w:tc>
        <w:tc>
          <w:tcPr>
            <w:tcW w:w="100" w:type="dxa"/>
            <w:vAlign w:val="bottom"/>
            <w:tcBorders>
              <w:top w:val="single" w:sz="8" w:color="E4E4E4"/>
            </w:tcBorders>
            <w:shd w:val="clear" w:color="auto" w:fill="E4E4E4"/>
          </w:tcPr>
          <w:p>
            <w:pPr>
              <w:spacing w:after="0"/>
              <w:rPr>
                <w:sz w:val="19"/>
                <w:szCs w:val="19"/>
                <w:color w:val="auto"/>
              </w:rPr>
            </w:pPr>
          </w:p>
        </w:tc>
        <w:tc>
          <w:tcPr>
            <w:tcW w:w="11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125,000</w:t>
            </w:r>
          </w:p>
        </w:tc>
        <w:tc>
          <w:tcPr>
            <w:tcW w:w="24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54.25</w:t>
            </w:r>
          </w:p>
        </w:tc>
        <w:tc>
          <w:tcPr>
            <w:tcW w:w="100" w:type="dxa"/>
            <w:vAlign w:val="bottom"/>
            <w:tcBorders>
              <w:top w:val="single" w:sz="8" w:color="E4E4E4"/>
            </w:tcBorders>
            <w:shd w:val="clear" w:color="auto" w:fill="E4E4E4"/>
          </w:tcPr>
          <w:p>
            <w:pPr>
              <w:spacing w:after="0"/>
              <w:rPr>
                <w:sz w:val="19"/>
                <w:szCs w:val="19"/>
                <w:color w:val="auto"/>
              </w:rPr>
            </w:pPr>
          </w:p>
        </w:tc>
        <w:tc>
          <w:tcPr>
            <w:tcW w:w="80" w:type="dxa"/>
            <w:vAlign w:val="bottom"/>
            <w:tcBorders>
              <w:top w:val="single" w:sz="8" w:color="E4E4E4"/>
            </w:tcBorders>
            <w:shd w:val="clear" w:color="auto" w:fill="E4E4E4"/>
          </w:tcPr>
          <w:p>
            <w:pPr>
              <w:spacing w:after="0"/>
              <w:rPr>
                <w:sz w:val="19"/>
                <w:szCs w:val="19"/>
                <w:color w:val="auto"/>
              </w:rPr>
            </w:pPr>
          </w:p>
        </w:tc>
        <w:tc>
          <w:tcPr>
            <w:tcW w:w="1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164,351</w:t>
            </w:r>
          </w:p>
        </w:tc>
        <w:tc>
          <w:tcPr>
            <w:tcW w:w="22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27.00</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20"/>
                <w:szCs w:val="20"/>
                <w:color w:val="1E1E1E"/>
              </w:rPr>
              <w:t>Granted</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635,632</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125,000</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54.25</w:t>
            </w:r>
          </w:p>
        </w:tc>
        <w:tc>
          <w:tcPr>
            <w:tcW w:w="100" w:type="dxa"/>
            <w:vAlign w:val="bottom"/>
          </w:tcPr>
          <w:p>
            <w:pPr>
              <w:spacing w:after="0"/>
              <w:rPr>
                <w:sz w:val="19"/>
                <w:szCs w:val="19"/>
                <w:color w:val="auto"/>
              </w:rPr>
            </w:pPr>
          </w:p>
        </w:tc>
      </w:tr>
      <w:tr>
        <w:trPr>
          <w:trHeight w:val="230"/>
        </w:trPr>
        <w:tc>
          <w:tcPr>
            <w:tcW w:w="38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Forfeited</w:t>
            </w:r>
          </w:p>
        </w:tc>
        <w:tc>
          <w:tcPr>
            <w:tcW w:w="1480" w:type="dxa"/>
            <w:vAlign w:val="bottom"/>
            <w:gridSpan w:val="3"/>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(65,790)</w:t>
            </w:r>
          </w:p>
        </w:tc>
        <w:tc>
          <w:tcPr>
            <w:tcW w:w="1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13.62</w:t>
            </w:r>
          </w:p>
        </w:tc>
        <w:tc>
          <w:tcPr>
            <w:tcW w:w="1560" w:type="dxa"/>
            <w:vAlign w:val="bottom"/>
            <w:gridSpan w:val="4"/>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(164,351)</w:t>
            </w:r>
          </w:p>
        </w:tc>
        <w:tc>
          <w:tcPr>
            <w:tcW w:w="16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27.00</w:t>
            </w:r>
          </w:p>
        </w:tc>
        <w:tc>
          <w:tcPr>
            <w:tcW w:w="100" w:type="dxa"/>
            <w:vAlign w:val="bottom"/>
            <w:shd w:val="clear" w:color="auto" w:fill="E4E4E4"/>
          </w:tcPr>
          <w:p>
            <w:pPr>
              <w:spacing w:after="0"/>
              <w:rPr>
                <w:sz w:val="19"/>
                <w:szCs w:val="19"/>
                <w:color w:val="auto"/>
              </w:rPr>
            </w:pPr>
          </w:p>
        </w:tc>
      </w:tr>
      <w:tr>
        <w:trPr>
          <w:trHeight w:val="220"/>
        </w:trPr>
        <w:tc>
          <w:tcPr>
            <w:tcW w:w="3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Unvested at end of year</w:t>
            </w:r>
          </w:p>
        </w:tc>
        <w:tc>
          <w:tcPr>
            <w:tcW w:w="100" w:type="dxa"/>
            <w:vAlign w:val="bottom"/>
          </w:tcPr>
          <w:p>
            <w:pPr>
              <w:spacing w:after="0"/>
              <w:rPr>
                <w:sz w:val="19"/>
                <w:szCs w:val="19"/>
                <w:color w:val="auto"/>
              </w:rPr>
            </w:pPr>
          </w:p>
        </w:tc>
        <w:tc>
          <w:tcPr>
            <w:tcW w:w="1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694,842</w:t>
            </w:r>
          </w:p>
        </w:tc>
        <w:tc>
          <w:tcPr>
            <w:tcW w:w="24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20.93</w:t>
            </w:r>
          </w:p>
        </w:tc>
        <w:tc>
          <w:tcPr>
            <w:tcW w:w="180" w:type="dxa"/>
            <w:vAlign w:val="bottom"/>
            <w:gridSpan w:val="2"/>
          </w:tcPr>
          <w:p>
            <w:pPr>
              <w:spacing w:after="0"/>
              <w:rPr>
                <w:sz w:val="19"/>
                <w:szCs w:val="19"/>
                <w:color w:val="auto"/>
              </w:rPr>
            </w:pP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125,000</w:t>
            </w:r>
          </w:p>
        </w:tc>
        <w:tc>
          <w:tcPr>
            <w:tcW w:w="220" w:type="dxa"/>
            <w:vAlign w:val="bottom"/>
          </w:tcPr>
          <w:p>
            <w:pPr>
              <w:spacing w:after="0"/>
              <w:rPr>
                <w:sz w:val="19"/>
                <w:szCs w:val="19"/>
                <w:color w:val="auto"/>
              </w:rPr>
            </w:pPr>
          </w:p>
        </w:tc>
        <w:tc>
          <w:tcPr>
            <w:tcW w:w="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rPr>
              <w:t>54.25</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100" w:firstLine="490"/>
        <w:spacing w:after="0" w:line="279" w:lineRule="auto"/>
        <w:rPr>
          <w:sz w:val="20"/>
          <w:szCs w:val="20"/>
          <w:color w:val="auto"/>
        </w:rPr>
      </w:pPr>
      <w:r>
        <w:rPr>
          <w:rFonts w:ascii="Times New Roman" w:cs="Times New Roman" w:eastAsia="Times New Roman" w:hAnsi="Times New Roman"/>
          <w:sz w:val="20"/>
          <w:szCs w:val="20"/>
          <w:color w:val="1E1E1E"/>
        </w:rPr>
        <w:t>The number of PSUs awarded represents the target number of shares of common stock that may be earned; however, the actual number of shares may vary based on the satisfaction of performance criteria.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2023 Inducement Plan</w:t>
      </w:r>
    </w:p>
    <w:p>
      <w:pPr>
        <w:spacing w:after="0" w:line="118" w:lineRule="exact"/>
        <w:rPr>
          <w:sz w:val="20"/>
          <w:szCs w:val="20"/>
          <w:color w:val="auto"/>
        </w:rPr>
      </w:pPr>
    </w:p>
    <w:p>
      <w:pPr>
        <w:jc w:val="both"/>
        <w:ind w:right="120" w:firstLine="490"/>
        <w:spacing w:after="0" w:line="253" w:lineRule="auto"/>
        <w:rPr>
          <w:sz w:val="20"/>
          <w:szCs w:val="20"/>
          <w:color w:val="auto"/>
        </w:rPr>
      </w:pPr>
      <w:r>
        <w:rPr>
          <w:rFonts w:ascii="Times New Roman" w:cs="Times New Roman" w:eastAsia="Times New Roman" w:hAnsi="Times New Roman"/>
          <w:sz w:val="20"/>
          <w:szCs w:val="20"/>
          <w:color w:val="1E1E1E"/>
        </w:rPr>
        <w:t>The Definitive Healthcare Corp. 2023 Inducement Plan (the “Inducement Plan”) was adopted in September 2023 for the purpose of granting equity-based awards to individuals who were not previously employees or directors of the Company. The Inducement Plan provides for the grant of equity-based awards in the form of nonstatutory stock options, SARs, RSAs, RSUs, and dividend equivalent rights.</w:t>
      </w:r>
    </w:p>
    <w:p>
      <w:pPr>
        <w:spacing w:after="0" w:line="70"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1E1E1E"/>
        </w:rPr>
        <w:t>The aggregate number of shares of Class A Common Stock available for grant under the Inducement Plan was 887,819 shares at December 31, 2023. The outstanding RSUs granted under this plan have time-based and/or performance-based vesting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Time-Based RSUs</w:t>
      </w:r>
    </w:p>
    <w:p>
      <w:pPr>
        <w:spacing w:after="0" w:line="120" w:lineRule="exact"/>
        <w:rPr>
          <w:sz w:val="20"/>
          <w:szCs w:val="20"/>
          <w:color w:val="auto"/>
        </w:rPr>
      </w:pPr>
    </w:p>
    <w:p>
      <w:pPr>
        <w:ind w:right="680" w:firstLine="490"/>
        <w:spacing w:after="0" w:line="279" w:lineRule="auto"/>
        <w:rPr>
          <w:sz w:val="20"/>
          <w:szCs w:val="20"/>
          <w:color w:val="auto"/>
        </w:rPr>
      </w:pPr>
      <w:r>
        <w:rPr>
          <w:rFonts w:ascii="Times New Roman" w:cs="Times New Roman" w:eastAsia="Times New Roman" w:hAnsi="Times New Roman"/>
          <w:sz w:val="20"/>
          <w:szCs w:val="20"/>
          <w:color w:val="1E1E1E"/>
        </w:rPr>
        <w:t>Outstanding time-based RSUs granted under the Inducement Plan generally vest partially in annual and quarterly increments over the subsequent two-, three-, or four-year period.</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summarizes the Company's unvested time-based activity for the year ended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1E1E1E"/>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top w:val="single" w:sz="8" w:color="1E1E1E"/>
              <w:bottom w:val="single" w:sz="8" w:color="1E1E1E"/>
            </w:tcBorders>
          </w:tcPr>
          <w:p>
            <w:pPr>
              <w:spacing w:after="0"/>
              <w:rPr>
                <w:sz w:val="17"/>
                <w:szCs w:val="17"/>
                <w:color w:val="auto"/>
              </w:rPr>
            </w:pPr>
          </w:p>
        </w:tc>
        <w:tc>
          <w:tcPr>
            <w:tcW w:w="1560" w:type="dxa"/>
            <w:vAlign w:val="bottom"/>
            <w:tcBorders>
              <w:top w:val="single" w:sz="8" w:color="1E1E1E"/>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66"/>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right="130"/>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00" w:type="dxa"/>
            <w:vAlign w:val="bottom"/>
          </w:tcPr>
          <w:p>
            <w:pPr>
              <w:spacing w:after="0"/>
              <w:rPr>
                <w:sz w:val="14"/>
                <w:szCs w:val="14"/>
                <w:color w:val="auto"/>
              </w:rPr>
            </w:pPr>
          </w:p>
        </w:tc>
      </w:tr>
      <w:tr>
        <w:trPr>
          <w:trHeight w:val="184"/>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Restricted</w:t>
            </w:r>
          </w:p>
        </w:tc>
        <w:tc>
          <w:tcPr>
            <w:tcW w:w="220" w:type="dxa"/>
            <w:vAlign w:val="bottom"/>
          </w:tcPr>
          <w:p>
            <w:pPr>
              <w:spacing w:after="0"/>
              <w:rPr>
                <w:sz w:val="15"/>
                <w:szCs w:val="15"/>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1E1E1E"/>
              </w:rPr>
              <w:t>Average Grant</w:t>
            </w:r>
          </w:p>
        </w:tc>
        <w:tc>
          <w:tcPr>
            <w:tcW w:w="100" w:type="dxa"/>
            <w:vAlign w:val="bottom"/>
          </w:tcPr>
          <w:p>
            <w:pPr>
              <w:spacing w:after="0"/>
              <w:rPr>
                <w:sz w:val="15"/>
                <w:szCs w:val="15"/>
                <w:color w:val="auto"/>
              </w:rPr>
            </w:pPr>
          </w:p>
        </w:tc>
      </w:tr>
      <w:tr>
        <w:trPr>
          <w:trHeight w:val="204"/>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rPr>
              <w:t>Stock Units</w:t>
            </w:r>
          </w:p>
        </w:tc>
        <w:tc>
          <w:tcPr>
            <w:tcW w:w="220" w:type="dxa"/>
            <w:vAlign w:val="bottom"/>
          </w:tcPr>
          <w:p>
            <w:pPr>
              <w:spacing w:after="0"/>
              <w:rPr>
                <w:sz w:val="17"/>
                <w:szCs w:val="17"/>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1E1E1E"/>
                <w:w w:val="98"/>
              </w:rPr>
              <w:t>Date Fair Value</w:t>
            </w:r>
          </w:p>
        </w:tc>
        <w:tc>
          <w:tcPr>
            <w:tcW w:w="100" w:type="dxa"/>
            <w:vAlign w:val="bottom"/>
          </w:tcPr>
          <w:p>
            <w:pPr>
              <w:spacing w:after="0"/>
              <w:rPr>
                <w:sz w:val="17"/>
                <w:szCs w:val="17"/>
                <w:color w:val="auto"/>
              </w:rPr>
            </w:pPr>
          </w:p>
        </w:tc>
      </w:tr>
      <w:tr>
        <w:trPr>
          <w:trHeight w:val="220"/>
        </w:trPr>
        <w:tc>
          <w:tcPr>
            <w:tcW w:w="60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beginning of year</w:t>
            </w:r>
          </w:p>
        </w:tc>
        <w:tc>
          <w:tcPr>
            <w:tcW w:w="160" w:type="dxa"/>
            <w:vAlign w:val="bottom"/>
            <w:tcBorders>
              <w:top w:val="single" w:sz="8" w:color="E4E4E4"/>
            </w:tcBorders>
            <w:shd w:val="clear" w:color="auto" w:fill="E4E4E4"/>
          </w:tcPr>
          <w:p>
            <w:pPr>
              <w:spacing w:after="0"/>
              <w:rPr>
                <w:sz w:val="19"/>
                <w:szCs w:val="19"/>
                <w:color w:val="auto"/>
              </w:rPr>
            </w:pPr>
          </w:p>
        </w:tc>
        <w:tc>
          <w:tcPr>
            <w:tcW w:w="18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32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0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Granted</w:t>
            </w:r>
          </w:p>
        </w:tc>
        <w:tc>
          <w:tcPr>
            <w:tcW w:w="160" w:type="dxa"/>
            <w:vAlign w:val="bottom"/>
            <w:tcBorders>
              <w:bottom w:val="single" w:sz="8" w:color="E4E4E4"/>
            </w:tcBorders>
          </w:tcPr>
          <w:p>
            <w:pPr>
              <w:spacing w:after="0"/>
              <w:rPr>
                <w:sz w:val="19"/>
                <w:szCs w:val="19"/>
                <w:color w:val="auto"/>
              </w:rPr>
            </w:pPr>
          </w:p>
        </w:tc>
        <w:tc>
          <w:tcPr>
            <w:tcW w:w="18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660,423</w:t>
            </w:r>
          </w:p>
        </w:tc>
        <w:tc>
          <w:tcPr>
            <w:tcW w:w="320" w:type="dxa"/>
            <w:vAlign w:val="bottom"/>
            <w:tcBorders>
              <w:bottom w:val="single" w:sz="8" w:color="E4E4E4"/>
            </w:tcBorders>
          </w:tcPr>
          <w:p>
            <w:pPr>
              <w:spacing w:after="0"/>
              <w:rPr>
                <w:sz w:val="19"/>
                <w:szCs w:val="19"/>
                <w:color w:val="auto"/>
              </w:rPr>
            </w:pPr>
          </w:p>
        </w:tc>
        <w:tc>
          <w:tcPr>
            <w:tcW w:w="220" w:type="dxa"/>
            <w:vAlign w:val="bottom"/>
            <w:tcBorders>
              <w:bottom w:val="single" w:sz="8" w:color="E4E4E4"/>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7.11</w:t>
            </w:r>
          </w:p>
        </w:tc>
        <w:tc>
          <w:tcPr>
            <w:tcW w:w="100" w:type="dxa"/>
            <w:vAlign w:val="bottom"/>
            <w:tcBorders>
              <w:bottom w:val="single" w:sz="8" w:color="E4E4E4"/>
            </w:tcBorders>
          </w:tcPr>
          <w:p>
            <w:pPr>
              <w:spacing w:after="0"/>
              <w:rPr>
                <w:sz w:val="19"/>
                <w:szCs w:val="19"/>
                <w:color w:val="auto"/>
              </w:rPr>
            </w:pPr>
          </w:p>
        </w:tc>
      </w:tr>
      <w:tr>
        <w:trPr>
          <w:trHeight w:val="220"/>
        </w:trPr>
        <w:tc>
          <w:tcPr>
            <w:tcW w:w="60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end of year</w:t>
            </w:r>
          </w:p>
        </w:tc>
        <w:tc>
          <w:tcPr>
            <w:tcW w:w="160" w:type="dxa"/>
            <w:vAlign w:val="bottom"/>
            <w:shd w:val="clear" w:color="auto" w:fill="E4E4E4"/>
          </w:tcPr>
          <w:p>
            <w:pPr>
              <w:spacing w:after="0"/>
              <w:rPr>
                <w:sz w:val="19"/>
                <w:szCs w:val="19"/>
                <w:color w:val="auto"/>
              </w:rPr>
            </w:pPr>
          </w:p>
        </w:tc>
        <w:tc>
          <w:tcPr>
            <w:tcW w:w="18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660,423</w:t>
            </w:r>
          </w:p>
        </w:tc>
        <w:tc>
          <w:tcPr>
            <w:tcW w:w="32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7.11</w:t>
            </w:r>
          </w:p>
        </w:tc>
        <w:tc>
          <w:tcPr>
            <w:tcW w:w="100" w:type="dxa"/>
            <w:vAlign w:val="bottom"/>
            <w:shd w:val="clear" w:color="auto" w:fill="E4E4E4"/>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E1E1E"/>
        </w:rPr>
        <w:t>Performance-Based RSUs</w:t>
      </w:r>
    </w:p>
    <w:p>
      <w:pPr>
        <w:spacing w:after="0" w:line="120"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1E1E1E"/>
        </w:rPr>
        <w:t>Outstanding PSUs granted under the Inducement Plan generally vest annually over three years subject to the achievement of certain performance targets and continued service. Expense for these awards is recognized when it becomes probable that performance measures triggering vesting will be achieved.</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summarizes the Company's unvested PSU activity for the years ended December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1E1E1E"/>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top w:val="single" w:sz="8" w:color="1E1E1E"/>
              <w:bottom w:val="single" w:sz="8" w:color="1E1E1E"/>
            </w:tcBorders>
          </w:tcPr>
          <w:p>
            <w:pPr>
              <w:spacing w:after="0"/>
              <w:rPr>
                <w:sz w:val="17"/>
                <w:szCs w:val="17"/>
                <w:color w:val="auto"/>
              </w:rPr>
            </w:pPr>
          </w:p>
        </w:tc>
        <w:tc>
          <w:tcPr>
            <w:tcW w:w="1560" w:type="dxa"/>
            <w:vAlign w:val="bottom"/>
            <w:tcBorders>
              <w:top w:val="single" w:sz="8" w:color="1E1E1E"/>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66"/>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right="130"/>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00" w:type="dxa"/>
            <w:vAlign w:val="bottom"/>
          </w:tcPr>
          <w:p>
            <w:pPr>
              <w:spacing w:after="0"/>
              <w:rPr>
                <w:sz w:val="14"/>
                <w:szCs w:val="14"/>
                <w:color w:val="auto"/>
              </w:rPr>
            </w:pPr>
          </w:p>
        </w:tc>
      </w:tr>
      <w:tr>
        <w:trPr>
          <w:trHeight w:val="184"/>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Restricted</w:t>
            </w:r>
          </w:p>
        </w:tc>
        <w:tc>
          <w:tcPr>
            <w:tcW w:w="220" w:type="dxa"/>
            <w:vAlign w:val="bottom"/>
          </w:tcPr>
          <w:p>
            <w:pPr>
              <w:spacing w:after="0"/>
              <w:rPr>
                <w:sz w:val="15"/>
                <w:szCs w:val="15"/>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1E1E1E"/>
              </w:rPr>
              <w:t>Average Grant</w:t>
            </w:r>
          </w:p>
        </w:tc>
        <w:tc>
          <w:tcPr>
            <w:tcW w:w="100" w:type="dxa"/>
            <w:vAlign w:val="bottom"/>
          </w:tcPr>
          <w:p>
            <w:pPr>
              <w:spacing w:after="0"/>
              <w:rPr>
                <w:sz w:val="15"/>
                <w:szCs w:val="15"/>
                <w:color w:val="auto"/>
              </w:rPr>
            </w:pPr>
          </w:p>
        </w:tc>
      </w:tr>
      <w:tr>
        <w:trPr>
          <w:trHeight w:val="204"/>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rPr>
              <w:t>Stock Units</w:t>
            </w:r>
          </w:p>
        </w:tc>
        <w:tc>
          <w:tcPr>
            <w:tcW w:w="220" w:type="dxa"/>
            <w:vAlign w:val="bottom"/>
          </w:tcPr>
          <w:p>
            <w:pPr>
              <w:spacing w:after="0"/>
              <w:rPr>
                <w:sz w:val="17"/>
                <w:szCs w:val="17"/>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1E1E1E"/>
                <w:w w:val="98"/>
              </w:rPr>
              <w:t>Date Fair Value</w:t>
            </w:r>
          </w:p>
        </w:tc>
        <w:tc>
          <w:tcPr>
            <w:tcW w:w="100" w:type="dxa"/>
            <w:vAlign w:val="bottom"/>
          </w:tcPr>
          <w:p>
            <w:pPr>
              <w:spacing w:after="0"/>
              <w:rPr>
                <w:sz w:val="17"/>
                <w:szCs w:val="17"/>
                <w:color w:val="auto"/>
              </w:rPr>
            </w:pPr>
          </w:p>
        </w:tc>
      </w:tr>
      <w:tr>
        <w:trPr>
          <w:trHeight w:val="220"/>
        </w:trPr>
        <w:tc>
          <w:tcPr>
            <w:tcW w:w="60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beginning of year</w:t>
            </w:r>
          </w:p>
        </w:tc>
        <w:tc>
          <w:tcPr>
            <w:tcW w:w="160" w:type="dxa"/>
            <w:vAlign w:val="bottom"/>
            <w:tcBorders>
              <w:top w:val="single" w:sz="8" w:color="E4E4E4"/>
            </w:tcBorders>
            <w:shd w:val="clear" w:color="auto" w:fill="E4E4E4"/>
          </w:tcPr>
          <w:p>
            <w:pPr>
              <w:spacing w:after="0"/>
              <w:rPr>
                <w:sz w:val="19"/>
                <w:szCs w:val="19"/>
                <w:color w:val="auto"/>
              </w:rPr>
            </w:pPr>
          </w:p>
        </w:tc>
        <w:tc>
          <w:tcPr>
            <w:tcW w:w="18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32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1E1E1E"/>
            </w:tcBorders>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0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Granted</w:t>
            </w:r>
          </w:p>
        </w:tc>
        <w:tc>
          <w:tcPr>
            <w:tcW w:w="160" w:type="dxa"/>
            <w:vAlign w:val="bottom"/>
            <w:tcBorders>
              <w:bottom w:val="single" w:sz="8" w:color="E4E4E4"/>
            </w:tcBorders>
          </w:tcPr>
          <w:p>
            <w:pPr>
              <w:spacing w:after="0"/>
              <w:rPr>
                <w:sz w:val="19"/>
                <w:szCs w:val="19"/>
                <w:color w:val="auto"/>
              </w:rPr>
            </w:pPr>
          </w:p>
        </w:tc>
        <w:tc>
          <w:tcPr>
            <w:tcW w:w="18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551,758</w:t>
            </w:r>
          </w:p>
        </w:tc>
        <w:tc>
          <w:tcPr>
            <w:tcW w:w="320" w:type="dxa"/>
            <w:vAlign w:val="bottom"/>
            <w:tcBorders>
              <w:bottom w:val="single" w:sz="8" w:color="E4E4E4"/>
            </w:tcBorders>
          </w:tcPr>
          <w:p>
            <w:pPr>
              <w:spacing w:after="0"/>
              <w:rPr>
                <w:sz w:val="19"/>
                <w:szCs w:val="19"/>
                <w:color w:val="auto"/>
              </w:rPr>
            </w:pPr>
          </w:p>
        </w:tc>
        <w:tc>
          <w:tcPr>
            <w:tcW w:w="220" w:type="dxa"/>
            <w:vAlign w:val="bottom"/>
            <w:tcBorders>
              <w:bottom w:val="single" w:sz="8" w:color="E4E4E4"/>
            </w:tcBorders>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tcBorders>
              <w:bottom w:val="single" w:sz="8" w:color="E4E4E4"/>
            </w:tcBorders>
          </w:tcPr>
          <w:p>
            <w:pPr>
              <w:jc w:val="right"/>
              <w:spacing w:after="0"/>
              <w:rPr>
                <w:sz w:val="20"/>
                <w:szCs w:val="20"/>
                <w:color w:val="auto"/>
              </w:rPr>
            </w:pPr>
            <w:r>
              <w:rPr>
                <w:rFonts w:ascii="Times New Roman" w:cs="Times New Roman" w:eastAsia="Times New Roman" w:hAnsi="Times New Roman"/>
                <w:sz w:val="20"/>
                <w:szCs w:val="20"/>
                <w:color w:val="1E1E1E"/>
              </w:rPr>
              <w:t>9.10</w:t>
            </w:r>
          </w:p>
        </w:tc>
        <w:tc>
          <w:tcPr>
            <w:tcW w:w="100" w:type="dxa"/>
            <w:vAlign w:val="bottom"/>
            <w:tcBorders>
              <w:bottom w:val="single" w:sz="8" w:color="E4E4E4"/>
            </w:tcBorders>
          </w:tcPr>
          <w:p>
            <w:pPr>
              <w:spacing w:after="0"/>
              <w:rPr>
                <w:sz w:val="19"/>
                <w:szCs w:val="19"/>
                <w:color w:val="auto"/>
              </w:rPr>
            </w:pPr>
          </w:p>
        </w:tc>
      </w:tr>
      <w:tr>
        <w:trPr>
          <w:trHeight w:val="220"/>
        </w:trPr>
        <w:tc>
          <w:tcPr>
            <w:tcW w:w="606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end of year</w:t>
            </w:r>
          </w:p>
        </w:tc>
        <w:tc>
          <w:tcPr>
            <w:tcW w:w="160" w:type="dxa"/>
            <w:vAlign w:val="bottom"/>
            <w:shd w:val="clear" w:color="auto" w:fill="E4E4E4"/>
          </w:tcPr>
          <w:p>
            <w:pPr>
              <w:spacing w:after="0"/>
              <w:rPr>
                <w:sz w:val="19"/>
                <w:szCs w:val="19"/>
                <w:color w:val="auto"/>
              </w:rPr>
            </w:pPr>
          </w:p>
        </w:tc>
        <w:tc>
          <w:tcPr>
            <w:tcW w:w="18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551,758</w:t>
            </w:r>
          </w:p>
        </w:tc>
        <w:tc>
          <w:tcPr>
            <w:tcW w:w="320" w:type="dxa"/>
            <w:vAlign w:val="bottom"/>
            <w:shd w:val="clear" w:color="auto" w:fill="E4E4E4"/>
          </w:tcPr>
          <w:p>
            <w:pPr>
              <w:spacing w:after="0"/>
              <w:rPr>
                <w:sz w:val="19"/>
                <w:szCs w:val="19"/>
                <w:color w:val="auto"/>
              </w:rPr>
            </w:pPr>
          </w:p>
        </w:tc>
        <w:tc>
          <w:tcPr>
            <w:tcW w:w="220" w:type="dxa"/>
            <w:vAlign w:val="bottom"/>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5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9.10</w:t>
            </w:r>
          </w:p>
        </w:tc>
        <w:tc>
          <w:tcPr>
            <w:tcW w:w="100" w:type="dxa"/>
            <w:vAlign w:val="bottom"/>
            <w:shd w:val="clear" w:color="auto" w:fill="E4E4E4"/>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right="100" w:firstLine="490"/>
        <w:spacing w:after="0" w:line="279" w:lineRule="auto"/>
        <w:rPr>
          <w:sz w:val="20"/>
          <w:szCs w:val="20"/>
          <w:color w:val="auto"/>
        </w:rPr>
      </w:pPr>
      <w:r>
        <w:rPr>
          <w:rFonts w:ascii="Times New Roman" w:cs="Times New Roman" w:eastAsia="Times New Roman" w:hAnsi="Times New Roman"/>
          <w:sz w:val="20"/>
          <w:szCs w:val="20"/>
          <w:color w:val="1E1E1E"/>
        </w:rPr>
        <w:t>The number of PSUs awarded represents the target number of shares of common stock that may be earned; however, the actual number of shares may vary based on the satisfaction of performance criteria.</w:t>
      </w:r>
    </w:p>
    <w:p>
      <w:pPr>
        <w:sectPr>
          <w:pgSz w:w="11880" w:h="15480" w:orient="portrait"/>
          <w:cols w:equalWidth="0" w:num="1">
            <w:col w:w="10240"/>
          </w:cols>
          <w:pgMar w:left="820" w:top="806" w:right="8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F-47</w:t>
      </w:r>
    </w:p>
    <w:p>
      <w:pPr>
        <w:sectPr>
          <w:pgSz w:w="11880" w:h="15480" w:orient="portrait"/>
          <w:cols w:equalWidth="0" w:num="1">
            <w:col w:w="10240"/>
          </w:cols>
          <w:pgMar w:left="820" w:top="806" w:right="820" w:bottom="8"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i w:val="1"/>
          <w:iCs w:val="1"/>
          <w:color w:val="1E1E1E"/>
        </w:rPr>
        <w:t>2019 Incentive Equity Plan</w:t>
      </w:r>
    </w:p>
    <w:p>
      <w:pPr>
        <w:spacing w:after="0" w:line="118" w:lineRule="exact"/>
        <w:rPr>
          <w:sz w:val="20"/>
          <w:szCs w:val="20"/>
          <w:color w:val="auto"/>
        </w:rPr>
      </w:pPr>
    </w:p>
    <w:p>
      <w:pPr>
        <w:ind w:right="280" w:firstLine="490"/>
        <w:spacing w:after="0" w:line="245" w:lineRule="auto"/>
        <w:rPr>
          <w:sz w:val="20"/>
          <w:szCs w:val="20"/>
          <w:color w:val="auto"/>
        </w:rPr>
      </w:pPr>
      <w:r>
        <w:rPr>
          <w:rFonts w:ascii="Times New Roman" w:cs="Times New Roman" w:eastAsia="Times New Roman" w:hAnsi="Times New Roman"/>
          <w:sz w:val="20"/>
          <w:szCs w:val="20"/>
          <w:color w:val="1E1E1E"/>
        </w:rPr>
        <w:t>The AIDH Topco, LLC 2019 Equity Incentive Plan (the “2019 Plan”) was utilized prior to the Reorganization Transactions and the IPO for the issuance of equity awards in the form of Class B Units to or on behalf of employees, consultants, directors, managers, or others providing services to the Company. In connection with the Reorganization Transactions and the IPO, unvested Class B Units held directly by employees of the Company or indirectly through AIDH Management Holdings, LLC, were exchanged for unvested Definitive OpCo units (held directly or indirectly through AIDH Management Holdings, LLC) based on their respective participation thresholds and the IPO price of $27.00 per share. The Company no longer grants any awards under the 2019 Plan, though previously granted awards under the 2019 Plan remain outstanding and governed by the 2019 Plan, including unvested units.</w:t>
      </w:r>
    </w:p>
    <w:p>
      <w:pPr>
        <w:spacing w:after="0" w:line="82"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In connection with the departure of three management-level employees during the year, the Company accelerated the vesting of 50,772 previously unvested Definitive OpCo units (held indirectly through AIDH Management Holdings, LLC). The incremental stock-based compensation expense was not material and any unvested Definitive OpCo units (held indirectly through AIDH Management Holdings, LLC) were forfeited upon separation.</w:t>
      </w:r>
    </w:p>
    <w:p>
      <w:pPr>
        <w:spacing w:after="0" w:line="190"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1E1E1E"/>
        </w:rPr>
        <w:t>Similarly, in connection with the departure of two management-level employees in 2022, the Company accelerated the vesting of 126,350 previously unvested Definitive OpCo units (held indirectly through AIDH Management Holdings, LLC), resulting in incremental stock-based compensation expense of approximately $1.8 million during the fourth quarter of 2022. Any unvested Definitive OpCo units (held indirectly through AIDH Management Holdings, LLC) were forfeited upon separation.</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summarizes the Company’s unvested unit activity.</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640" w:type="dxa"/>
            <w:vAlign w:val="bottom"/>
            <w:gridSpan w:val="4"/>
          </w:tcPr>
          <w:p>
            <w:pPr>
              <w:jc w:val="right"/>
              <w:ind w:right="5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940" w:type="dxa"/>
            <w:vAlign w:val="bottom"/>
          </w:tcPr>
          <w:p>
            <w:pPr>
              <w:spacing w:after="0"/>
              <w:rPr>
                <w:sz w:val="17"/>
                <w:szCs w:val="17"/>
                <w:color w:val="auto"/>
              </w:rPr>
            </w:pPr>
          </w:p>
        </w:tc>
        <w:tc>
          <w:tcPr>
            <w:tcW w:w="1720" w:type="dxa"/>
            <w:vAlign w:val="bottom"/>
            <w:gridSpan w:val="4"/>
          </w:tcPr>
          <w:p>
            <w:pPr>
              <w:jc w:val="right"/>
              <w:ind w:right="50"/>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6"/>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1E1E1E"/>
            </w:tcBorders>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940" w:type="dxa"/>
            <w:vAlign w:val="bottom"/>
            <w:tcBorders>
              <w:top w:val="single" w:sz="8" w:color="1E1E1E"/>
            </w:tcBorders>
          </w:tcPr>
          <w:p>
            <w:pPr>
              <w:jc w:val="right"/>
              <w:ind w:right="124"/>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80" w:type="dxa"/>
            <w:vAlign w:val="bottom"/>
          </w:tcPr>
          <w:p>
            <w:pPr>
              <w:spacing w:after="0"/>
              <w:rPr>
                <w:sz w:val="14"/>
                <w:szCs w:val="14"/>
                <w:color w:val="auto"/>
              </w:rPr>
            </w:pPr>
          </w:p>
        </w:tc>
        <w:tc>
          <w:tcPr>
            <w:tcW w:w="1160" w:type="dxa"/>
            <w:vAlign w:val="bottom"/>
            <w:tcBorders>
              <w:top w:val="single" w:sz="8" w:color="1E1E1E"/>
            </w:tcBorders>
          </w:tcPr>
          <w:p>
            <w:pPr>
              <w:spacing w:after="0"/>
              <w:rPr>
                <w:sz w:val="14"/>
                <w:szCs w:val="14"/>
                <w:color w:val="auto"/>
              </w:rPr>
            </w:pPr>
          </w:p>
        </w:tc>
        <w:tc>
          <w:tcPr>
            <w:tcW w:w="220" w:type="dxa"/>
            <w:vAlign w:val="bottom"/>
            <w:tcBorders>
              <w:top w:val="single" w:sz="8" w:color="1E1E1E"/>
            </w:tcBorders>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940" w:type="dxa"/>
            <w:vAlign w:val="bottom"/>
            <w:tcBorders>
              <w:top w:val="single" w:sz="8" w:color="1E1E1E"/>
            </w:tcBorders>
          </w:tcPr>
          <w:p>
            <w:pPr>
              <w:jc w:val="right"/>
              <w:ind w:right="124"/>
              <w:spacing w:after="0" w:line="166"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100" w:type="dxa"/>
            <w:vAlign w:val="bottom"/>
          </w:tcPr>
          <w:p>
            <w:pPr>
              <w:spacing w:after="0"/>
              <w:rPr>
                <w:sz w:val="14"/>
                <w:szCs w:val="14"/>
                <w:color w:val="auto"/>
              </w:rPr>
            </w:pPr>
          </w:p>
        </w:tc>
      </w:tr>
      <w:tr>
        <w:trPr>
          <w:trHeight w:val="184"/>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rPr>
              <w:t>Non-Vested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Average Grant</w:t>
            </w:r>
          </w:p>
        </w:tc>
        <w:tc>
          <w:tcPr>
            <w:tcW w:w="180" w:type="dxa"/>
            <w:vAlign w:val="bottom"/>
          </w:tcPr>
          <w:p>
            <w:pPr>
              <w:spacing w:after="0"/>
              <w:rPr>
                <w:sz w:val="15"/>
                <w:szCs w:val="15"/>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rPr>
              <w:t>Non-Vested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Average Grant</w:t>
            </w:r>
          </w:p>
        </w:tc>
        <w:tc>
          <w:tcPr>
            <w:tcW w:w="100" w:type="dxa"/>
            <w:vAlign w:val="bottom"/>
          </w:tcPr>
          <w:p>
            <w:pPr>
              <w:spacing w:after="0"/>
              <w:rPr>
                <w:sz w:val="15"/>
                <w:szCs w:val="15"/>
                <w:color w:val="auto"/>
              </w:rPr>
            </w:pPr>
          </w:p>
        </w:tc>
      </w:tr>
      <w:tr>
        <w:trPr>
          <w:trHeight w:val="204"/>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1E1E1E"/>
              </w:rPr>
              <w:t>Units</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E1E1E"/>
                <w:w w:val="98"/>
              </w:rPr>
              <w:t>Date Fair Value</w:t>
            </w:r>
          </w:p>
        </w:tc>
        <w:tc>
          <w:tcPr>
            <w:tcW w:w="18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1E1E1E"/>
              </w:rPr>
              <w:t>Units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w w:val="98"/>
              </w:rPr>
              <w:t>Date Fair Value</w:t>
            </w:r>
          </w:p>
        </w:tc>
        <w:tc>
          <w:tcPr>
            <w:tcW w:w="100" w:type="dxa"/>
            <w:vAlign w:val="bottom"/>
          </w:tcPr>
          <w:p>
            <w:pPr>
              <w:spacing w:after="0"/>
              <w:rPr>
                <w:sz w:val="17"/>
                <w:szCs w:val="17"/>
                <w:color w:val="auto"/>
              </w:rPr>
            </w:pPr>
          </w:p>
        </w:tc>
      </w:tr>
      <w:tr>
        <w:trPr>
          <w:trHeight w:val="220"/>
        </w:trPr>
        <w:tc>
          <w:tcPr>
            <w:tcW w:w="386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Unvested at beginning of year</w:t>
            </w:r>
          </w:p>
        </w:tc>
        <w:tc>
          <w:tcPr>
            <w:tcW w:w="100" w:type="dxa"/>
            <w:vAlign w:val="bottom"/>
            <w:tcBorders>
              <w:top w:val="single" w:sz="8" w:color="E4E4E4"/>
            </w:tcBorders>
            <w:shd w:val="clear" w:color="auto" w:fill="E4E4E4"/>
          </w:tcPr>
          <w:p>
            <w:pPr>
              <w:spacing w:after="0"/>
              <w:rPr>
                <w:sz w:val="19"/>
                <w:szCs w:val="19"/>
                <w:color w:val="auto"/>
              </w:rPr>
            </w:pPr>
          </w:p>
        </w:tc>
        <w:tc>
          <w:tcPr>
            <w:tcW w:w="11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1,509,149</w:t>
            </w:r>
          </w:p>
        </w:tc>
        <w:tc>
          <w:tcPr>
            <w:tcW w:w="24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2.03</w:t>
            </w:r>
          </w:p>
        </w:tc>
        <w:tc>
          <w:tcPr>
            <w:tcW w:w="180" w:type="dxa"/>
            <w:vAlign w:val="bottom"/>
            <w:tcBorders>
              <w:top w:val="single" w:sz="8" w:color="E4E4E4"/>
            </w:tcBorders>
            <w:shd w:val="clear" w:color="auto" w:fill="E4E4E4"/>
          </w:tcPr>
          <w:p>
            <w:pPr>
              <w:spacing w:after="0"/>
              <w:rPr>
                <w:sz w:val="19"/>
                <w:szCs w:val="19"/>
                <w:color w:val="auto"/>
              </w:rPr>
            </w:pPr>
          </w:p>
        </w:tc>
        <w:tc>
          <w:tcPr>
            <w:tcW w:w="1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2,756,406</w:t>
            </w:r>
          </w:p>
        </w:tc>
        <w:tc>
          <w:tcPr>
            <w:tcW w:w="220" w:type="dxa"/>
            <w:vAlign w:val="bottom"/>
            <w:tcBorders>
              <w:top w:val="single" w:sz="8" w:color="E4E4E4"/>
            </w:tcBorders>
            <w:shd w:val="clear" w:color="auto" w:fill="E4E4E4"/>
          </w:tcPr>
          <w:p>
            <w:pPr>
              <w:spacing w:after="0"/>
              <w:rPr>
                <w:sz w:val="19"/>
                <w:szCs w:val="19"/>
                <w:color w:val="auto"/>
              </w:rPr>
            </w:pPr>
          </w:p>
        </w:tc>
        <w:tc>
          <w:tcPr>
            <w:tcW w:w="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3860" w:type="dxa"/>
            <w:vAlign w:val="bottom"/>
          </w:tcPr>
          <w:p>
            <w:pPr>
              <w:ind w:left="100"/>
              <w:spacing w:after="0"/>
              <w:rPr>
                <w:sz w:val="20"/>
                <w:szCs w:val="20"/>
                <w:color w:val="auto"/>
              </w:rPr>
            </w:pPr>
            <w:r>
              <w:rPr>
                <w:rFonts w:ascii="Times New Roman" w:cs="Times New Roman" w:eastAsia="Times New Roman" w:hAnsi="Times New Roman"/>
                <w:sz w:val="20"/>
                <w:szCs w:val="20"/>
                <w:color w:val="1E1E1E"/>
              </w:rPr>
              <w:t>Vested</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(806,128)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(1,060,385)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2.03</w:t>
            </w:r>
          </w:p>
        </w:tc>
        <w:tc>
          <w:tcPr>
            <w:tcW w:w="100" w:type="dxa"/>
            <w:vAlign w:val="bottom"/>
          </w:tcPr>
          <w:p>
            <w:pPr>
              <w:spacing w:after="0"/>
              <w:rPr>
                <w:sz w:val="19"/>
                <w:szCs w:val="19"/>
                <w:color w:val="auto"/>
              </w:rPr>
            </w:pPr>
          </w:p>
        </w:tc>
      </w:tr>
      <w:tr>
        <w:trPr>
          <w:trHeight w:val="230"/>
        </w:trPr>
        <w:tc>
          <w:tcPr>
            <w:tcW w:w="3860" w:type="dxa"/>
            <w:vAlign w:val="bottom"/>
            <w:shd w:val="clear" w:color="auto" w:fill="E4E4E4"/>
          </w:tcPr>
          <w:p>
            <w:pPr>
              <w:ind w:left="100"/>
              <w:spacing w:after="0"/>
              <w:rPr>
                <w:sz w:val="20"/>
                <w:szCs w:val="20"/>
                <w:color w:val="auto"/>
              </w:rPr>
            </w:pPr>
            <w:r>
              <w:rPr>
                <w:rFonts w:ascii="Times New Roman" w:cs="Times New Roman" w:eastAsia="Times New Roman" w:hAnsi="Times New Roman"/>
                <w:sz w:val="20"/>
                <w:szCs w:val="20"/>
                <w:color w:val="1E1E1E"/>
              </w:rPr>
              <w:t>Forfeited</w:t>
            </w:r>
          </w:p>
        </w:tc>
        <w:tc>
          <w:tcPr>
            <w:tcW w:w="1480" w:type="dxa"/>
            <w:vAlign w:val="bottom"/>
            <w:gridSpan w:val="3"/>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(108,368)</w:t>
            </w:r>
          </w:p>
        </w:tc>
        <w:tc>
          <w:tcPr>
            <w:tcW w:w="16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2.12</w:t>
            </w:r>
          </w:p>
        </w:tc>
        <w:tc>
          <w:tcPr>
            <w:tcW w:w="1560" w:type="dxa"/>
            <w:vAlign w:val="bottom"/>
            <w:gridSpan w:val="3"/>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(186,872)</w:t>
            </w:r>
          </w:p>
        </w:tc>
        <w:tc>
          <w:tcPr>
            <w:tcW w:w="16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2.03</w:t>
            </w:r>
          </w:p>
        </w:tc>
        <w:tc>
          <w:tcPr>
            <w:tcW w:w="100" w:type="dxa"/>
            <w:vAlign w:val="bottom"/>
            <w:shd w:val="clear" w:color="auto" w:fill="E4E4E4"/>
          </w:tcPr>
          <w:p>
            <w:pPr>
              <w:spacing w:after="0"/>
              <w:rPr>
                <w:sz w:val="19"/>
                <w:szCs w:val="19"/>
                <w:color w:val="auto"/>
              </w:rPr>
            </w:pPr>
          </w:p>
        </w:tc>
      </w:tr>
      <w:tr>
        <w:trPr>
          <w:trHeight w:val="220"/>
        </w:trPr>
        <w:tc>
          <w:tcPr>
            <w:tcW w:w="3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Unvested at end of year</w:t>
            </w:r>
          </w:p>
        </w:tc>
        <w:tc>
          <w:tcPr>
            <w:tcW w:w="100" w:type="dxa"/>
            <w:vAlign w:val="bottom"/>
          </w:tcPr>
          <w:p>
            <w:pPr>
              <w:spacing w:after="0"/>
              <w:rPr>
                <w:sz w:val="19"/>
                <w:szCs w:val="19"/>
                <w:color w:val="auto"/>
              </w:rPr>
            </w:pPr>
          </w:p>
        </w:tc>
        <w:tc>
          <w:tcPr>
            <w:tcW w:w="1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594,653</w:t>
            </w:r>
          </w:p>
        </w:tc>
        <w:tc>
          <w:tcPr>
            <w:tcW w:w="240" w:type="dxa"/>
            <w:vAlign w:val="bottom"/>
          </w:tcPr>
          <w:p>
            <w:pPr>
              <w:spacing w:after="0"/>
              <w:rPr>
                <w:sz w:val="19"/>
                <w:szCs w:val="19"/>
                <w:color w:val="auto"/>
              </w:rPr>
            </w:pPr>
          </w:p>
        </w:tc>
        <w:tc>
          <w:tcPr>
            <w:tcW w:w="160" w:type="dxa"/>
            <w:vAlign w:val="bottom"/>
            <w:tcBorders>
              <w:top w:val="single" w:sz="8" w:color="1E1E1E"/>
              <w:bottom w:val="single" w:sz="8" w:color="1E1E1E"/>
            </w:tcBorders>
          </w:tcPr>
          <w:p>
            <w:pPr>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1.65</w:t>
            </w:r>
          </w:p>
        </w:tc>
        <w:tc>
          <w:tcPr>
            <w:tcW w:w="180" w:type="dxa"/>
            <w:vAlign w:val="bottom"/>
          </w:tcPr>
          <w:p>
            <w:pPr>
              <w:spacing w:after="0"/>
              <w:rPr>
                <w:sz w:val="19"/>
                <w:szCs w:val="19"/>
                <w:color w:val="auto"/>
              </w:rPr>
            </w:pP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1,509,149</w:t>
            </w:r>
          </w:p>
        </w:tc>
        <w:tc>
          <w:tcPr>
            <w:tcW w:w="220" w:type="dxa"/>
            <w:vAlign w:val="bottom"/>
          </w:tcPr>
          <w:p>
            <w:pPr>
              <w:spacing w:after="0"/>
              <w:rPr>
                <w:sz w:val="19"/>
                <w:szCs w:val="19"/>
                <w:color w:val="auto"/>
              </w:rPr>
            </w:pPr>
          </w:p>
        </w:tc>
        <w:tc>
          <w:tcPr>
            <w:tcW w:w="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2.03</w:t>
            </w:r>
          </w:p>
        </w:tc>
        <w:tc>
          <w:tcPr>
            <w:tcW w:w="1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Equity-Based Compensation Expense</w:t>
      </w:r>
    </w:p>
    <w:p>
      <w:pPr>
        <w:spacing w:after="0" w:line="118"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1E1E1E"/>
        </w:rPr>
        <w:t>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2023, 2022 and 2021, is provided in the following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8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spacing w:after="0"/>
              <w:rPr>
                <w:sz w:val="17"/>
                <w:szCs w:val="17"/>
                <w:color w:val="auto"/>
              </w:rPr>
            </w:pPr>
          </w:p>
        </w:tc>
        <w:tc>
          <w:tcPr>
            <w:tcW w:w="2000" w:type="dxa"/>
            <w:vAlign w:val="bottom"/>
            <w:tcBorders>
              <w:bottom w:val="single" w:sz="8" w:color="1E1E1E"/>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2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040" w:type="dxa"/>
            <w:vAlign w:val="bottom"/>
            <w:tcBorders>
              <w:bottom w:val="single" w:sz="8" w:color="E4E4E4"/>
            </w:tcBorders>
            <w:vMerge w:val="continue"/>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320" w:type="dxa"/>
            <w:vAlign w:val="bottom"/>
            <w:tcBorders>
              <w:bottom w:val="single" w:sz="8" w:color="1E1E1E"/>
            </w:tcBorders>
          </w:tcPr>
          <w:p>
            <w:pPr>
              <w:spacing w:after="0"/>
              <w:rPr>
                <w:sz w:val="15"/>
                <w:szCs w:val="15"/>
                <w:color w:val="auto"/>
              </w:rPr>
            </w:pPr>
          </w:p>
        </w:tc>
        <w:tc>
          <w:tcPr>
            <w:tcW w:w="1140" w:type="dxa"/>
            <w:vAlign w:val="bottom"/>
            <w:tcBorders>
              <w:bottom w:val="single" w:sz="8" w:color="1E1E1E"/>
            </w:tcBorders>
          </w:tcPr>
          <w:p>
            <w:pPr>
              <w:jc w:val="right"/>
              <w:ind w:right="483"/>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15"/>
                <w:szCs w:val="15"/>
                <w:color w:val="auto"/>
              </w:rPr>
            </w:pPr>
          </w:p>
        </w:tc>
        <w:tc>
          <w:tcPr>
            <w:tcW w:w="340" w:type="dxa"/>
            <w:vAlign w:val="bottom"/>
            <w:tcBorders>
              <w:bottom w:val="single" w:sz="8" w:color="1E1E1E"/>
            </w:tcBorders>
          </w:tcPr>
          <w:p>
            <w:pPr>
              <w:spacing w:after="0"/>
              <w:rPr>
                <w:sz w:val="15"/>
                <w:szCs w:val="15"/>
                <w:color w:val="auto"/>
              </w:rPr>
            </w:pPr>
          </w:p>
        </w:tc>
        <w:tc>
          <w:tcPr>
            <w:tcW w:w="1120" w:type="dxa"/>
            <w:vAlign w:val="bottom"/>
            <w:tcBorders>
              <w:bottom w:val="single" w:sz="8" w:color="1E1E1E"/>
            </w:tcBorders>
          </w:tcPr>
          <w:p>
            <w:pPr>
              <w:jc w:val="right"/>
              <w:ind w:right="463"/>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80" w:type="dxa"/>
            <w:vAlign w:val="bottom"/>
            <w:tcBorders>
              <w:bottom w:val="single" w:sz="8" w:color="E4E4E4"/>
            </w:tcBorders>
          </w:tcPr>
          <w:p>
            <w:pPr>
              <w:spacing w:after="0"/>
              <w:rPr>
                <w:sz w:val="15"/>
                <w:szCs w:val="15"/>
                <w:color w:val="auto"/>
              </w:rPr>
            </w:pPr>
          </w:p>
        </w:tc>
        <w:tc>
          <w:tcPr>
            <w:tcW w:w="320" w:type="dxa"/>
            <w:vAlign w:val="bottom"/>
            <w:tcBorders>
              <w:bottom w:val="single" w:sz="8" w:color="1E1E1E"/>
            </w:tcBorders>
          </w:tcPr>
          <w:p>
            <w:pPr>
              <w:spacing w:after="0"/>
              <w:rPr>
                <w:sz w:val="15"/>
                <w:szCs w:val="15"/>
                <w:color w:val="auto"/>
              </w:rPr>
            </w:pPr>
          </w:p>
        </w:tc>
        <w:tc>
          <w:tcPr>
            <w:tcW w:w="1140" w:type="dxa"/>
            <w:vAlign w:val="bottom"/>
            <w:tcBorders>
              <w:bottom w:val="single" w:sz="8" w:color="1E1E1E"/>
            </w:tcBorders>
          </w:tcPr>
          <w:p>
            <w:pPr>
              <w:jc w:val="right"/>
              <w:ind w:right="483"/>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Cost of revenue</w:t>
            </w:r>
          </w:p>
        </w:tc>
        <w:tc>
          <w:tcPr>
            <w:tcW w:w="180" w:type="dxa"/>
            <w:vAlign w:val="bottom"/>
            <w:shd w:val="clear" w:color="auto" w:fill="E4E4E4"/>
          </w:tcPr>
          <w:p>
            <w:pPr>
              <w:spacing w:after="0"/>
              <w:rPr>
                <w:sz w:val="19"/>
                <w:szCs w:val="19"/>
                <w:color w:val="auto"/>
              </w:rPr>
            </w:pPr>
          </w:p>
        </w:tc>
        <w:tc>
          <w:tcPr>
            <w:tcW w:w="320" w:type="dxa"/>
            <w:vAlign w:val="bottom"/>
            <w:shd w:val="clear" w:color="auto" w:fill="E4E4E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1,097</w:t>
            </w:r>
          </w:p>
        </w:tc>
        <w:tc>
          <w:tcPr>
            <w:tcW w:w="260" w:type="dxa"/>
            <w:vAlign w:val="bottom"/>
            <w:shd w:val="clear" w:color="auto" w:fill="E4E4E4"/>
          </w:tcPr>
          <w:p>
            <w:pPr>
              <w:spacing w:after="0"/>
              <w:rPr>
                <w:sz w:val="19"/>
                <w:szCs w:val="19"/>
                <w:color w:val="auto"/>
              </w:rPr>
            </w:pPr>
          </w:p>
        </w:tc>
        <w:tc>
          <w:tcPr>
            <w:tcW w:w="340" w:type="dxa"/>
            <w:vAlign w:val="bottom"/>
            <w:shd w:val="clear" w:color="auto" w:fill="E4E4E4"/>
          </w:tcPr>
          <w:p>
            <w:pPr>
              <w:jc w:val="right"/>
              <w:ind w:right="1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942</w:t>
            </w:r>
          </w:p>
        </w:tc>
        <w:tc>
          <w:tcPr>
            <w:tcW w:w="280" w:type="dxa"/>
            <w:vAlign w:val="bottom"/>
            <w:shd w:val="clear" w:color="auto" w:fill="E4E4E4"/>
          </w:tcPr>
          <w:p>
            <w:pPr>
              <w:spacing w:after="0"/>
              <w:rPr>
                <w:sz w:val="19"/>
                <w:szCs w:val="19"/>
                <w:color w:val="auto"/>
              </w:rPr>
            </w:pPr>
          </w:p>
        </w:tc>
        <w:tc>
          <w:tcPr>
            <w:tcW w:w="320" w:type="dxa"/>
            <w:vAlign w:val="bottom"/>
            <w:shd w:val="clear" w:color="auto" w:fill="E4E4E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1E1E1E"/>
              </w:rPr>
              <w:t>Sales and marketing</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11,407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13,508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Product development</w:t>
            </w:r>
          </w:p>
        </w:tc>
        <w:tc>
          <w:tcPr>
            <w:tcW w:w="1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13,138</w:t>
            </w:r>
          </w:p>
        </w:tc>
        <w:tc>
          <w:tcPr>
            <w:tcW w:w="26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7,805</w:t>
            </w:r>
          </w:p>
        </w:tc>
        <w:tc>
          <w:tcPr>
            <w:tcW w:w="2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1,070</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80" w:type="dxa"/>
            <w:vAlign w:val="bottom"/>
            <w:tcBorders>
              <w:bottom w:val="single" w:sz="8" w:color="E4E4E4"/>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23,097</w:t>
            </w:r>
          </w:p>
        </w:tc>
        <w:tc>
          <w:tcPr>
            <w:tcW w:w="260" w:type="dxa"/>
            <w:vAlign w:val="bottom"/>
            <w:tcBorders>
              <w:bottom w:val="single" w:sz="8" w:color="E4E4E4"/>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14,179</w:t>
            </w:r>
          </w:p>
        </w:tc>
        <w:tc>
          <w:tcPr>
            <w:tcW w:w="280" w:type="dxa"/>
            <w:vAlign w:val="bottom"/>
            <w:tcBorders>
              <w:bottom w:val="single" w:sz="8" w:color="E4E4E4"/>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6,680</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Total compensation expense</w:t>
            </w:r>
          </w:p>
        </w:tc>
        <w:tc>
          <w:tcPr>
            <w:tcW w:w="180" w:type="dxa"/>
            <w:vAlign w:val="bottom"/>
            <w:shd w:val="clear" w:color="auto" w:fill="E4E4E4"/>
          </w:tcPr>
          <w:p>
            <w:pPr>
              <w:spacing w:after="0"/>
              <w:rPr>
                <w:sz w:val="19"/>
                <w:szCs w:val="19"/>
                <w:color w:val="auto"/>
              </w:rPr>
            </w:pPr>
          </w:p>
        </w:tc>
        <w:tc>
          <w:tcPr>
            <w:tcW w:w="320" w:type="dxa"/>
            <w:vAlign w:val="bottom"/>
            <w:tcBorders>
              <w:bottom w:val="single" w:sz="8" w:color="1E1E1E"/>
            </w:tcBorders>
            <w:shd w:val="clear" w:color="auto" w:fill="E4E4E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48,739</w:t>
            </w:r>
          </w:p>
        </w:tc>
        <w:tc>
          <w:tcPr>
            <w:tcW w:w="260" w:type="dxa"/>
            <w:vAlign w:val="bottom"/>
            <w:shd w:val="clear" w:color="auto" w:fill="E4E4E4"/>
          </w:tcPr>
          <w:p>
            <w:pPr>
              <w:spacing w:after="0"/>
              <w:rPr>
                <w:sz w:val="19"/>
                <w:szCs w:val="19"/>
                <w:color w:val="auto"/>
              </w:rPr>
            </w:pPr>
          </w:p>
        </w:tc>
        <w:tc>
          <w:tcPr>
            <w:tcW w:w="340" w:type="dxa"/>
            <w:vAlign w:val="bottom"/>
            <w:tcBorders>
              <w:bottom w:val="single" w:sz="8" w:color="1E1E1E"/>
            </w:tcBorders>
            <w:shd w:val="clear" w:color="auto" w:fill="E4E4E4"/>
          </w:tcPr>
          <w:p>
            <w:pPr>
              <w:jc w:val="right"/>
              <w:ind w:right="1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36,434</w:t>
            </w:r>
          </w:p>
        </w:tc>
        <w:tc>
          <w:tcPr>
            <w:tcW w:w="280" w:type="dxa"/>
            <w:vAlign w:val="bottom"/>
            <w:shd w:val="clear" w:color="auto" w:fill="E4E4E4"/>
          </w:tcPr>
          <w:p>
            <w:pPr>
              <w:spacing w:after="0"/>
              <w:rPr>
                <w:sz w:val="19"/>
                <w:szCs w:val="19"/>
                <w:color w:val="auto"/>
              </w:rPr>
            </w:pPr>
          </w:p>
        </w:tc>
        <w:tc>
          <w:tcPr>
            <w:tcW w:w="320" w:type="dxa"/>
            <w:vAlign w:val="bottom"/>
            <w:tcBorders>
              <w:bottom w:val="single" w:sz="8" w:color="1E1E1E"/>
            </w:tcBorders>
            <w:shd w:val="clear" w:color="auto" w:fill="E4E4E4"/>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9,957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The Company recognized $39.4 million in stock-based compensation expense associated with time-based RSUs in the year ended December 31, 2023, $27.0 million in the year ended December 31, 2022, and $4.4 million in the year ended December 31, 2021. Total unrecognized expense for these awards was estimated to be $71.6 million at December 31, 2023 and is expected to be recognized over a weighted-average period of approximately 2.4 years.</w:t>
      </w:r>
    </w:p>
    <w:p>
      <w:pPr>
        <w:spacing w:after="0" w:line="7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The Company recognized $4.6 million and $1.7 million in stock-based compensation expense associated with PSUs in the years ended December 31, 2023 and 2022, respectively. The Company did not recognize any expense associated with PSUs in the year ended December 31, 2021. Total unrecognized expense for these awards was estimated to be $8.6 million at December 31, 2023 and is expected to be recognized over a weighted-average period of approximately 1.7 years.</w:t>
      </w:r>
    </w:p>
    <w:p>
      <w:pPr>
        <w:spacing w:after="0" w:line="19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1E1E1E"/>
        </w:rPr>
        <w:t>The Company recorded $4.7 million in stock-based compensation expense associated with Definitive OpCo units in the year ended December 31, 2023, $7.7 million during the year ended December 31, 2022, and $3.4 million during the year ended December 31, 2021. Total unrecognized expense for these units was estimated to be $2.6 million at December 31, 2023 and is expected to be recognized over a weighted-average period of approximately 0.8 years.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F-48</w:t>
      </w:r>
    </w:p>
    <w:p>
      <w:pPr>
        <w:sectPr>
          <w:pgSz w:w="11880" w:h="15480" w:orient="portrait"/>
          <w:cols w:equalWidth="0" w:num="1">
            <w:col w:w="10240"/>
          </w:cols>
          <w:pgMar w:left="820" w:top="808" w:right="820" w:bottom="0" w:gutter="0" w:footer="0" w:header="0"/>
        </w:sectPr>
      </w:pPr>
    </w:p>
    <w:bookmarkStart w:id="132" w:name="page133"/>
    <w:bookmarkEnd w:id="132"/>
    <w:p>
      <w:pPr>
        <w:ind w:left="500" w:hanging="492"/>
        <w:spacing w:after="0"/>
        <w:tabs>
          <w:tab w:leader="none" w:pos="500" w:val="left"/>
        </w:tabs>
        <w:numPr>
          <w:ilvl w:val="0"/>
          <w:numId w:val="5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Retirement Plan</w:t>
      </w:r>
    </w:p>
    <w:p>
      <w:pPr>
        <w:spacing w:after="0" w:line="12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1E1E1E"/>
        </w:rPr>
        <w:t>The Company has a 401(k) plan covering all employees who have met certain eligibility requirements. The Company made matching contributions in accordance with the plan documents. The Company incurred $3.8 million, $3.4 million and $2.3 million in employer matching contributions during the years ended December 31, 2023, 2022 and 2021, respectively.</w:t>
      </w:r>
    </w:p>
    <w:p>
      <w:pPr>
        <w:sectPr>
          <w:pgSz w:w="11880" w:h="15480" w:orient="portrait"/>
          <w:cols w:equalWidth="0" w:num="1">
            <w:col w:w="9900"/>
          </w:cols>
          <w:pgMar w:left="820" w:top="803" w:right="11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color w:val="1E1E1E"/>
        </w:rPr>
        <w:t>F-49</w:t>
      </w:r>
    </w:p>
    <w:p>
      <w:pPr>
        <w:sectPr>
          <w:pgSz w:w="11880" w:h="15480" w:orient="portrait"/>
          <w:cols w:equalWidth="0" w:num="1">
            <w:col w:w="9900"/>
          </w:cols>
          <w:pgMar w:left="820" w:top="803" w:right="1160" w:bottom="8" w:gutter="0" w:footer="0" w:header="0"/>
          <w:type w:val="continuous"/>
        </w:sectPr>
      </w:pPr>
    </w:p>
    <w:bookmarkStart w:id="133" w:name="page134"/>
    <w:bookmarkEnd w:id="133"/>
    <w:p>
      <w:pPr>
        <w:ind w:left="500" w:hanging="492"/>
        <w:spacing w:after="0"/>
        <w:tabs>
          <w:tab w:leader="none" w:pos="500" w:val="left"/>
        </w:tabs>
        <w:numPr>
          <w:ilvl w:val="0"/>
          <w:numId w:val="5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Income Taxes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 Expense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U.S. and foreign components of income before income taxes were as follows:</w:t>
      </w:r>
    </w:p>
    <w:p>
      <w:pPr>
        <w:spacing w:after="0" w:line="122"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36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80" w:type="dxa"/>
            <w:vAlign w:val="bottom"/>
            <w:tcBorders>
              <w:bottom w:val="single" w:sz="8" w:color="E4E4E4"/>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220" w:type="dxa"/>
            <w:vAlign w:val="bottom"/>
            <w:tcBorders>
              <w:bottom w:val="single" w:sz="8" w:color="1E1E1E"/>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220" w:type="dxa"/>
            <w:vAlign w:val="bottom"/>
            <w:tcBorders>
              <w:bottom w:val="single" w:sz="8" w:color="1E1E1E"/>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260" w:type="dxa"/>
            <w:vAlign w:val="bottom"/>
            <w:tcBorders>
              <w:bottom w:val="single" w:sz="8" w:color="E4E4E4"/>
            </w:tcBorders>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200" w:type="dxa"/>
            <w:vAlign w:val="bottom"/>
            <w:tcBorders>
              <w:bottom w:val="single" w:sz="8" w:color="1E1E1E"/>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7"/>
                <w:szCs w:val="17"/>
                <w:color w:val="auto"/>
              </w:rPr>
            </w:pPr>
          </w:p>
        </w:tc>
      </w:tr>
      <w:tr>
        <w:trPr>
          <w:trHeight w:val="220"/>
        </w:trPr>
        <w:tc>
          <w:tcPr>
            <w:tcW w:w="36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Domestic</w:t>
            </w:r>
          </w:p>
        </w:tc>
        <w:tc>
          <w:tcPr>
            <w:tcW w:w="180" w:type="dxa"/>
            <w:vAlign w:val="bottom"/>
            <w:shd w:val="clear" w:color="auto" w:fill="E4E4E4"/>
          </w:tcPr>
          <w:p>
            <w:pPr>
              <w:spacing w:after="0"/>
              <w:rPr>
                <w:sz w:val="19"/>
                <w:szCs w:val="19"/>
                <w:color w:val="auto"/>
              </w:rPr>
            </w:pPr>
          </w:p>
        </w:tc>
        <w:tc>
          <w:tcPr>
            <w:tcW w:w="360" w:type="dxa"/>
            <w:vAlign w:val="bottom"/>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(308,232)</w:t>
            </w:r>
          </w:p>
        </w:tc>
        <w:tc>
          <w:tcPr>
            <w:tcW w:w="260" w:type="dxa"/>
            <w:vAlign w:val="bottom"/>
            <w:shd w:val="clear" w:color="auto" w:fill="E4E4E4"/>
          </w:tcPr>
          <w:p>
            <w:pPr>
              <w:spacing w:after="0"/>
              <w:rPr>
                <w:sz w:val="19"/>
                <w:szCs w:val="19"/>
                <w:color w:val="auto"/>
              </w:rPr>
            </w:pPr>
          </w:p>
        </w:tc>
        <w:tc>
          <w:tcPr>
            <w:tcW w:w="360" w:type="dxa"/>
            <w:vAlign w:val="bottom"/>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(37,054)</w:t>
            </w:r>
          </w:p>
        </w:tc>
        <w:tc>
          <w:tcPr>
            <w:tcW w:w="260" w:type="dxa"/>
            <w:vAlign w:val="bottom"/>
            <w:shd w:val="clear" w:color="auto" w:fill="E4E4E4"/>
          </w:tcPr>
          <w:p>
            <w:pPr>
              <w:spacing w:after="0"/>
              <w:rPr>
                <w:sz w:val="19"/>
                <w:szCs w:val="19"/>
                <w:color w:val="auto"/>
              </w:rPr>
            </w:pPr>
          </w:p>
        </w:tc>
        <w:tc>
          <w:tcPr>
            <w:tcW w:w="360" w:type="dxa"/>
            <w:vAlign w:val="bottom"/>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(58,782)</w:t>
            </w:r>
          </w:p>
        </w:tc>
        <w:tc>
          <w:tcPr>
            <w:tcW w:w="100" w:type="dxa"/>
            <w:vAlign w:val="bottom"/>
            <w:shd w:val="clear" w:color="auto" w:fill="E4E4E4"/>
          </w:tcPr>
          <w:p>
            <w:pPr>
              <w:spacing w:after="0"/>
              <w:rPr>
                <w:sz w:val="19"/>
                <w:szCs w:val="19"/>
                <w:color w:val="auto"/>
              </w:rPr>
            </w:pPr>
          </w:p>
        </w:tc>
      </w:tr>
      <w:tr>
        <w:trPr>
          <w:trHeight w:val="230"/>
        </w:trPr>
        <w:tc>
          <w:tcPr>
            <w:tcW w:w="36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Foreign</w:t>
            </w:r>
          </w:p>
        </w:tc>
        <w:tc>
          <w:tcPr>
            <w:tcW w:w="180" w:type="dxa"/>
            <w:vAlign w:val="bottom"/>
            <w:tcBorders>
              <w:bottom w:val="single" w:sz="8" w:color="E4E4E4"/>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52</w:t>
            </w:r>
          </w:p>
        </w:tc>
        <w:tc>
          <w:tcPr>
            <w:tcW w:w="260" w:type="dxa"/>
            <w:vAlign w:val="bottom"/>
            <w:tcBorders>
              <w:bottom w:val="single" w:sz="8" w:color="E4E4E4"/>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(4,823)</w:t>
            </w:r>
          </w:p>
        </w:tc>
        <w:tc>
          <w:tcPr>
            <w:tcW w:w="260" w:type="dxa"/>
            <w:vAlign w:val="bottom"/>
            <w:tcBorders>
              <w:bottom w:val="single" w:sz="8" w:color="E4E4E4"/>
            </w:tcBorders>
          </w:tcPr>
          <w:p>
            <w:pPr>
              <w:spacing w:after="0"/>
              <w:rPr>
                <w:sz w:val="19"/>
                <w:szCs w:val="19"/>
                <w:color w:val="auto"/>
              </w:rPr>
            </w:pPr>
          </w:p>
        </w:tc>
        <w:tc>
          <w:tcPr>
            <w:tcW w:w="360" w:type="dxa"/>
            <w:vAlign w:val="bottom"/>
            <w:tcBorders>
              <w:bottom w:val="single" w:sz="8" w:color="1E1E1E"/>
            </w:tcBorders>
          </w:tcPr>
          <w:p>
            <w:pPr>
              <w:spacing w:after="0"/>
              <w:rPr>
                <w:sz w:val="19"/>
                <w:szCs w:val="19"/>
                <w:color w:val="auto"/>
              </w:rPr>
            </w:pPr>
          </w:p>
        </w:tc>
        <w:tc>
          <w:tcPr>
            <w:tcW w:w="1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(3,985)</w:t>
            </w:r>
          </w:p>
        </w:tc>
        <w:tc>
          <w:tcPr>
            <w:tcW w:w="100" w:type="dxa"/>
            <w:vAlign w:val="bottom"/>
            <w:tcBorders>
              <w:bottom w:val="single" w:sz="8" w:color="E4E4E4"/>
            </w:tcBorders>
          </w:tcPr>
          <w:p>
            <w:pPr>
              <w:spacing w:after="0"/>
              <w:rPr>
                <w:sz w:val="19"/>
                <w:szCs w:val="19"/>
                <w:color w:val="auto"/>
              </w:rPr>
            </w:pPr>
          </w:p>
        </w:tc>
      </w:tr>
      <w:tr>
        <w:trPr>
          <w:trHeight w:val="220"/>
        </w:trPr>
        <w:tc>
          <w:tcPr>
            <w:tcW w:w="36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Loss before income taxes</w:t>
            </w:r>
          </w:p>
        </w:tc>
        <w:tc>
          <w:tcPr>
            <w:tcW w:w="18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(308,180)</w:t>
            </w:r>
          </w:p>
        </w:tc>
        <w:tc>
          <w:tcPr>
            <w:tcW w:w="26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(41,877)</w:t>
            </w:r>
          </w:p>
        </w:tc>
        <w:tc>
          <w:tcPr>
            <w:tcW w:w="26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(62,767)</w:t>
            </w:r>
          </w:p>
        </w:tc>
        <w:tc>
          <w:tcPr>
            <w:tcW w:w="100" w:type="dxa"/>
            <w:vAlign w:val="bottom"/>
            <w:shd w:val="clear" w:color="auto" w:fill="E4E4E4"/>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components of the provision for income taxes are as follows:</w:t>
      </w:r>
    </w:p>
    <w:p>
      <w:pPr>
        <w:spacing w:after="0" w:line="122"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80" w:type="dxa"/>
            <w:vAlign w:val="bottom"/>
          </w:tcPr>
          <w:p>
            <w:pPr>
              <w:spacing w:after="0"/>
              <w:rPr>
                <w:sz w:val="17"/>
                <w:szCs w:val="17"/>
                <w:color w:val="auto"/>
              </w:rPr>
            </w:pPr>
          </w:p>
        </w:tc>
        <w:tc>
          <w:tcPr>
            <w:tcW w:w="360" w:type="dxa"/>
            <w:vAlign w:val="bottom"/>
            <w:tcBorders>
              <w:bottom w:val="single" w:sz="8" w:color="1E1E1E"/>
            </w:tcBorders>
          </w:tcPr>
          <w:p>
            <w:pPr>
              <w:spacing w:after="0"/>
              <w:rPr>
                <w:sz w:val="17"/>
                <w:szCs w:val="17"/>
                <w:color w:val="auto"/>
              </w:rPr>
            </w:pPr>
          </w:p>
        </w:tc>
        <w:tc>
          <w:tcPr>
            <w:tcW w:w="122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2000" w:type="dxa"/>
            <w:vAlign w:val="bottom"/>
            <w:tcBorders>
              <w:bottom w:val="single" w:sz="8" w:color="1E1E1E"/>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360" w:type="dxa"/>
            <w:vAlign w:val="bottom"/>
            <w:tcBorders>
              <w:bottom w:val="single" w:sz="8" w:color="1E1E1E"/>
            </w:tcBorders>
          </w:tcPr>
          <w:p>
            <w:pPr>
              <w:spacing w:after="0"/>
              <w:rPr>
                <w:sz w:val="17"/>
                <w:szCs w:val="17"/>
                <w:color w:val="auto"/>
              </w:rPr>
            </w:pPr>
          </w:p>
        </w:tc>
        <w:tc>
          <w:tcPr>
            <w:tcW w:w="120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80" w:type="dxa"/>
            <w:vAlign w:val="bottom"/>
            <w:tcBorders>
              <w:bottom w:val="single" w:sz="8" w:color="E4E4E4"/>
            </w:tcBorders>
            <w:vMerge w:val="continue"/>
          </w:tcPr>
          <w:p>
            <w:pPr>
              <w:spacing w:after="0"/>
              <w:rPr>
                <w:sz w:val="15"/>
                <w:szCs w:val="15"/>
                <w:color w:val="auto"/>
              </w:rPr>
            </w:pPr>
          </w:p>
        </w:tc>
        <w:tc>
          <w:tcPr>
            <w:tcW w:w="180" w:type="dxa"/>
            <w:vAlign w:val="bottom"/>
            <w:tcBorders>
              <w:bottom w:val="single" w:sz="8" w:color="E4E4E4"/>
            </w:tcBorders>
          </w:tcPr>
          <w:p>
            <w:pPr>
              <w:spacing w:after="0"/>
              <w:rPr>
                <w:sz w:val="15"/>
                <w:szCs w:val="15"/>
                <w:color w:val="auto"/>
              </w:rPr>
            </w:pPr>
          </w:p>
        </w:tc>
        <w:tc>
          <w:tcPr>
            <w:tcW w:w="360" w:type="dxa"/>
            <w:vAlign w:val="bottom"/>
            <w:tcBorders>
              <w:bottom w:val="single" w:sz="8" w:color="1E1E1E"/>
            </w:tcBorders>
          </w:tcPr>
          <w:p>
            <w:pPr>
              <w:spacing w:after="0"/>
              <w:rPr>
                <w:sz w:val="15"/>
                <w:szCs w:val="15"/>
                <w:color w:val="auto"/>
              </w:rPr>
            </w:pPr>
          </w:p>
        </w:tc>
        <w:tc>
          <w:tcPr>
            <w:tcW w:w="1220" w:type="dxa"/>
            <w:vAlign w:val="bottom"/>
            <w:tcBorders>
              <w:bottom w:val="single" w:sz="8" w:color="1E1E1E"/>
            </w:tcBorders>
          </w:tcPr>
          <w:p>
            <w:pPr>
              <w:jc w:val="right"/>
              <w:ind w:right="522"/>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4E4E4"/>
            </w:tcBorders>
          </w:tcPr>
          <w:p>
            <w:pPr>
              <w:spacing w:after="0"/>
              <w:rPr>
                <w:sz w:val="15"/>
                <w:szCs w:val="15"/>
                <w:color w:val="auto"/>
              </w:rPr>
            </w:pPr>
          </w:p>
        </w:tc>
        <w:tc>
          <w:tcPr>
            <w:tcW w:w="160" w:type="dxa"/>
            <w:vAlign w:val="bottom"/>
            <w:tcBorders>
              <w:bottom w:val="single" w:sz="8" w:color="E4E4E4"/>
            </w:tcBorders>
          </w:tcPr>
          <w:p>
            <w:pPr>
              <w:spacing w:after="0"/>
              <w:rPr>
                <w:sz w:val="15"/>
                <w:szCs w:val="15"/>
                <w:color w:val="auto"/>
              </w:rPr>
            </w:pPr>
          </w:p>
        </w:tc>
        <w:tc>
          <w:tcPr>
            <w:tcW w:w="360" w:type="dxa"/>
            <w:vAlign w:val="bottom"/>
            <w:tcBorders>
              <w:bottom w:val="single" w:sz="8" w:color="1E1E1E"/>
            </w:tcBorders>
          </w:tcPr>
          <w:p>
            <w:pPr>
              <w:spacing w:after="0"/>
              <w:rPr>
                <w:sz w:val="15"/>
                <w:szCs w:val="15"/>
                <w:color w:val="auto"/>
              </w:rPr>
            </w:pPr>
          </w:p>
        </w:tc>
        <w:tc>
          <w:tcPr>
            <w:tcW w:w="1220" w:type="dxa"/>
            <w:vAlign w:val="bottom"/>
            <w:tcBorders>
              <w:bottom w:val="single" w:sz="8" w:color="1E1E1E"/>
            </w:tcBorders>
          </w:tcPr>
          <w:p>
            <w:pPr>
              <w:jc w:val="right"/>
              <w:ind w:right="542"/>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60" w:type="dxa"/>
            <w:vAlign w:val="bottom"/>
            <w:tcBorders>
              <w:bottom w:val="single" w:sz="8" w:color="E4E4E4"/>
            </w:tcBorders>
          </w:tcPr>
          <w:p>
            <w:pPr>
              <w:spacing w:after="0"/>
              <w:rPr>
                <w:sz w:val="15"/>
                <w:szCs w:val="15"/>
                <w:color w:val="auto"/>
              </w:rPr>
            </w:pPr>
          </w:p>
        </w:tc>
        <w:tc>
          <w:tcPr>
            <w:tcW w:w="360" w:type="dxa"/>
            <w:vAlign w:val="bottom"/>
            <w:tcBorders>
              <w:bottom w:val="single" w:sz="8" w:color="1E1E1E"/>
            </w:tcBorders>
          </w:tcPr>
          <w:p>
            <w:pPr>
              <w:spacing w:after="0"/>
              <w:rPr>
                <w:sz w:val="15"/>
                <w:szCs w:val="15"/>
                <w:color w:val="auto"/>
              </w:rPr>
            </w:pPr>
          </w:p>
        </w:tc>
        <w:tc>
          <w:tcPr>
            <w:tcW w:w="1200" w:type="dxa"/>
            <w:vAlign w:val="bottom"/>
            <w:tcBorders>
              <w:bottom w:val="single" w:sz="8" w:color="1E1E1E"/>
            </w:tcBorders>
          </w:tcPr>
          <w:p>
            <w:pPr>
              <w:jc w:val="right"/>
              <w:ind w:right="522"/>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Current income taxes:</w:t>
            </w:r>
          </w:p>
        </w:tc>
        <w:tc>
          <w:tcPr>
            <w:tcW w:w="1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U.S. federal</w:t>
            </w:r>
          </w:p>
        </w:tc>
        <w:tc>
          <w:tcPr>
            <w:tcW w:w="180" w:type="dxa"/>
            <w:vAlign w:val="bottom"/>
          </w:tcPr>
          <w:p>
            <w:pPr>
              <w:spacing w:after="0"/>
              <w:rPr>
                <w:sz w:val="19"/>
                <w:szCs w:val="19"/>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260" w:type="dxa"/>
            <w:vAlign w:val="bottom"/>
          </w:tcPr>
          <w:p>
            <w:pPr>
              <w:spacing w:after="0"/>
              <w:rPr>
                <w:sz w:val="19"/>
                <w:szCs w:val="19"/>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(7)</w:t>
            </w:r>
          </w:p>
        </w:tc>
        <w:tc>
          <w:tcPr>
            <w:tcW w:w="0" w:type="dxa"/>
            <w:vAlign w:val="bottom"/>
          </w:tcPr>
          <w:p>
            <w:pPr>
              <w:spacing w:after="0"/>
              <w:rPr>
                <w:sz w:val="1"/>
                <w:szCs w:val="1"/>
                <w:color w:val="auto"/>
              </w:rPr>
            </w:pPr>
          </w:p>
        </w:tc>
      </w:tr>
      <w:tr>
        <w:trPr>
          <w:trHeight w:val="230"/>
        </w:trPr>
        <w:tc>
          <w:tcPr>
            <w:tcW w:w="36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U.S. state and local</w:t>
            </w:r>
          </w:p>
        </w:tc>
        <w:tc>
          <w:tcPr>
            <w:tcW w:w="1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32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(28)</w:t>
            </w:r>
          </w:p>
        </w:tc>
        <w:tc>
          <w:tcPr>
            <w:tcW w:w="16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2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26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Foreign</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20"/>
                <w:szCs w:val="20"/>
                <w:color w:val="1E1E1E"/>
              </w:rPr>
              <w:t>Total current income taxes</w:t>
            </w:r>
          </w:p>
        </w:tc>
        <w:tc>
          <w:tcPr>
            <w:tcW w:w="180" w:type="dxa"/>
            <w:vAlign w:val="bottom"/>
            <w:shd w:val="clear" w:color="auto" w:fill="E4E4E4"/>
          </w:tcPr>
          <w:p>
            <w:pPr>
              <w:spacing w:after="0" w:line="20" w:lineRule="exact"/>
              <w:rPr>
                <w:sz w:val="1"/>
                <w:szCs w:val="1"/>
                <w:color w:val="auto"/>
              </w:rPr>
            </w:pPr>
          </w:p>
        </w:tc>
        <w:tc>
          <w:tcPr>
            <w:tcW w:w="360" w:type="dxa"/>
            <w:vAlign w:val="bottom"/>
            <w:shd w:val="clear" w:color="auto" w:fill="1E1E1E"/>
          </w:tcPr>
          <w:p>
            <w:pPr>
              <w:spacing w:after="0" w:line="20" w:lineRule="exact"/>
              <w:rPr>
                <w:sz w:val="1"/>
                <w:szCs w:val="1"/>
                <w:color w:val="auto"/>
              </w:rPr>
            </w:pPr>
          </w:p>
        </w:tc>
        <w:tc>
          <w:tcPr>
            <w:tcW w:w="1220" w:type="dxa"/>
            <w:vAlign w:val="bottom"/>
            <w:shd w:val="clear" w:color="auto" w:fill="1E1E1E"/>
          </w:tcPr>
          <w:p>
            <w:pPr>
              <w:spacing w:after="0" w:line="20" w:lineRule="exact"/>
              <w:rPr>
                <w:sz w:val="1"/>
                <w:szCs w:val="1"/>
                <w:color w:val="auto"/>
              </w:rPr>
            </w:pPr>
          </w:p>
        </w:tc>
        <w:tc>
          <w:tcPr>
            <w:tcW w:w="10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360" w:type="dxa"/>
            <w:vAlign w:val="bottom"/>
            <w:shd w:val="clear" w:color="auto" w:fill="1E1E1E"/>
          </w:tcPr>
          <w:p>
            <w:pPr>
              <w:spacing w:after="0" w:line="20" w:lineRule="exact"/>
              <w:rPr>
                <w:sz w:val="1"/>
                <w:szCs w:val="1"/>
                <w:color w:val="auto"/>
              </w:rPr>
            </w:pPr>
          </w:p>
        </w:tc>
        <w:tc>
          <w:tcPr>
            <w:tcW w:w="1220" w:type="dxa"/>
            <w:vAlign w:val="bottom"/>
            <w:shd w:val="clear" w:color="auto" w:fill="1E1E1E"/>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360" w:type="dxa"/>
            <w:vAlign w:val="bottom"/>
            <w:shd w:val="clear" w:color="auto" w:fill="1E1E1E"/>
          </w:tcPr>
          <w:p>
            <w:pPr>
              <w:spacing w:after="0" w:line="20" w:lineRule="exact"/>
              <w:rPr>
                <w:sz w:val="1"/>
                <w:szCs w:val="1"/>
                <w:color w:val="auto"/>
              </w:rPr>
            </w:pPr>
          </w:p>
        </w:tc>
        <w:tc>
          <w:tcPr>
            <w:tcW w:w="120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80" w:type="dxa"/>
            <w:vAlign w:val="bottom"/>
            <w:vMerge w:val="continue"/>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360" w:type="dxa"/>
            <w:vAlign w:val="bottom"/>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160</w:t>
            </w: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360" w:type="dxa"/>
            <w:vAlign w:val="bottom"/>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108</w:t>
            </w:r>
          </w:p>
        </w:tc>
        <w:tc>
          <w:tcPr>
            <w:tcW w:w="260" w:type="dxa"/>
            <w:vAlign w:val="bottom"/>
            <w:shd w:val="clear" w:color="auto" w:fill="E4E4E4"/>
          </w:tcPr>
          <w:p>
            <w:pPr>
              <w:spacing w:after="0"/>
              <w:rPr>
                <w:sz w:val="19"/>
                <w:szCs w:val="19"/>
                <w:color w:val="auto"/>
              </w:rPr>
            </w:pPr>
          </w:p>
        </w:tc>
        <w:tc>
          <w:tcPr>
            <w:tcW w:w="360" w:type="dxa"/>
            <w:vAlign w:val="bottom"/>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rPr>
              <w:t>(7)</w:t>
            </w:r>
          </w:p>
        </w:tc>
        <w:tc>
          <w:tcPr>
            <w:tcW w:w="0" w:type="dxa"/>
            <w:vAlign w:val="bottom"/>
          </w:tcPr>
          <w:p>
            <w:pPr>
              <w:spacing w:after="0"/>
              <w:rPr>
                <w:sz w:val="1"/>
                <w:szCs w:val="1"/>
                <w:color w:val="auto"/>
              </w:rPr>
            </w:pPr>
          </w:p>
        </w:tc>
      </w:tr>
      <w:tr>
        <w:trPr>
          <w:trHeight w:val="220"/>
        </w:trPr>
        <w:tc>
          <w:tcPr>
            <w:tcW w:w="36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Deferred income taxes:</w:t>
            </w:r>
          </w:p>
        </w:tc>
        <w:tc>
          <w:tcPr>
            <w:tcW w:w="180" w:type="dxa"/>
            <w:vAlign w:val="bottom"/>
          </w:tcPr>
          <w:p>
            <w:pPr>
              <w:spacing w:after="0"/>
              <w:rPr>
                <w:sz w:val="19"/>
                <w:szCs w:val="19"/>
                <w:color w:val="auto"/>
              </w:rPr>
            </w:pPr>
          </w:p>
        </w:tc>
        <w:tc>
          <w:tcPr>
            <w:tcW w:w="360" w:type="dxa"/>
            <w:vAlign w:val="bottom"/>
            <w:tcBorders>
              <w:top w:val="single" w:sz="8" w:color="1E1E1E"/>
            </w:tcBorders>
          </w:tcPr>
          <w:p>
            <w:pPr>
              <w:spacing w:after="0"/>
              <w:rPr>
                <w:sz w:val="19"/>
                <w:szCs w:val="19"/>
                <w:color w:val="auto"/>
              </w:rPr>
            </w:pPr>
          </w:p>
        </w:tc>
        <w:tc>
          <w:tcPr>
            <w:tcW w:w="1220" w:type="dxa"/>
            <w:vAlign w:val="bottom"/>
            <w:tcBorders>
              <w:top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1E1E1E"/>
            </w:tcBorders>
          </w:tcPr>
          <w:p>
            <w:pPr>
              <w:spacing w:after="0"/>
              <w:rPr>
                <w:sz w:val="19"/>
                <w:szCs w:val="19"/>
                <w:color w:val="auto"/>
              </w:rPr>
            </w:pPr>
          </w:p>
        </w:tc>
        <w:tc>
          <w:tcPr>
            <w:tcW w:w="1220" w:type="dxa"/>
            <w:vAlign w:val="bottom"/>
            <w:tcBorders>
              <w:top w:val="single" w:sz="8" w:color="1E1E1E"/>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1E1E1E"/>
            </w:tcBorders>
          </w:tcPr>
          <w:p>
            <w:pPr>
              <w:spacing w:after="0"/>
              <w:rPr>
                <w:sz w:val="19"/>
                <w:szCs w:val="19"/>
                <w:color w:val="auto"/>
              </w:rPr>
            </w:pPr>
          </w:p>
        </w:tc>
        <w:tc>
          <w:tcPr>
            <w:tcW w:w="1200" w:type="dxa"/>
            <w:vAlign w:val="bottom"/>
            <w:tcBorders>
              <w:top w:val="single" w:sz="8" w:color="1E1E1E"/>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U.S. federal</w:t>
            </w:r>
          </w:p>
        </w:tc>
        <w:tc>
          <w:tcPr>
            <w:tcW w:w="54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(11,225)</w:t>
            </w:r>
          </w:p>
        </w:tc>
        <w:tc>
          <w:tcPr>
            <w:tcW w:w="52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4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(1,160)</w:t>
            </w:r>
          </w:p>
        </w:tc>
        <w:tc>
          <w:tcPr>
            <w:tcW w:w="360" w:type="dxa"/>
            <w:vAlign w:val="bottom"/>
            <w:shd w:val="clear" w:color="auto" w:fill="E4E4E4"/>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497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U.S. state and local</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(7,208)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1E1E1E"/>
              </w:rPr>
              <w:t>(15,904)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Foreign</w:t>
            </w:r>
          </w:p>
        </w:tc>
        <w:tc>
          <w:tcPr>
            <w:tcW w:w="18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32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(280)</w:t>
            </w:r>
          </w:p>
        </w:tc>
        <w:tc>
          <w:tcPr>
            <w:tcW w:w="16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48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20"/>
                <w:szCs w:val="20"/>
                <w:color w:val="1E1E1E"/>
              </w:rPr>
              <w:t>(742)</w:t>
            </w:r>
          </w:p>
        </w:tc>
        <w:tc>
          <w:tcPr>
            <w:tcW w:w="36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(1,118)</w:t>
            </w:r>
          </w:p>
        </w:tc>
        <w:tc>
          <w:tcPr>
            <w:tcW w:w="0" w:type="dxa"/>
            <w:vAlign w:val="bottom"/>
          </w:tcPr>
          <w:p>
            <w:pPr>
              <w:spacing w:after="0"/>
              <w:rPr>
                <w:sz w:val="1"/>
                <w:szCs w:val="1"/>
                <w:color w:val="auto"/>
              </w:rPr>
            </w:pPr>
          </w:p>
        </w:tc>
      </w:tr>
      <w:tr>
        <w:trPr>
          <w:trHeight w:val="220"/>
        </w:trPr>
        <w:tc>
          <w:tcPr>
            <w:tcW w:w="3680" w:type="dxa"/>
            <w:vAlign w:val="bottom"/>
            <w:tcBorders>
              <w:bottom w:val="single" w:sz="8" w:color="E4E4E4"/>
            </w:tcBorders>
          </w:tcPr>
          <w:p>
            <w:pPr>
              <w:spacing w:after="0" w:line="220" w:lineRule="exact"/>
              <w:rPr>
                <w:sz w:val="20"/>
                <w:szCs w:val="20"/>
                <w:color w:val="auto"/>
              </w:rPr>
            </w:pPr>
            <w:r>
              <w:rPr>
                <w:rFonts w:ascii="Times New Roman" w:cs="Times New Roman" w:eastAsia="Times New Roman" w:hAnsi="Times New Roman"/>
                <w:sz w:val="20"/>
                <w:szCs w:val="20"/>
                <w:color w:val="1E1E1E"/>
              </w:rPr>
              <w:t>Total deferred income taxes</w:t>
            </w:r>
          </w:p>
        </w:tc>
        <w:tc>
          <w:tcPr>
            <w:tcW w:w="180" w:type="dxa"/>
            <w:vAlign w:val="bottom"/>
            <w:tcBorders>
              <w:bottom w:val="single" w:sz="8" w:color="E4E4E4"/>
            </w:tcBorders>
          </w:tcPr>
          <w:p>
            <w:pPr>
              <w:spacing w:after="0"/>
              <w:rPr>
                <w:sz w:val="19"/>
                <w:szCs w:val="19"/>
                <w:color w:val="auto"/>
              </w:rPr>
            </w:pPr>
          </w:p>
        </w:tc>
        <w:tc>
          <w:tcPr>
            <w:tcW w:w="360" w:type="dxa"/>
            <w:vAlign w:val="bottom"/>
            <w:tcBorders>
              <w:top w:val="single" w:sz="8" w:color="1E1E1E"/>
              <w:bottom w:val="single" w:sz="8" w:color="1E1E1E"/>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(18,713)</w:t>
            </w:r>
          </w:p>
        </w:tc>
        <w:tc>
          <w:tcPr>
            <w:tcW w:w="100" w:type="dxa"/>
            <w:vAlign w:val="bottom"/>
            <w:tcBorders>
              <w:bottom w:val="single" w:sz="8" w:color="E4E4E4"/>
            </w:tcBorders>
          </w:tcPr>
          <w:p>
            <w:pPr>
              <w:spacing w:after="0"/>
              <w:rPr>
                <w:sz w:val="19"/>
                <w:szCs w:val="19"/>
                <w:color w:val="auto"/>
              </w:rPr>
            </w:pPr>
          </w:p>
        </w:tc>
        <w:tc>
          <w:tcPr>
            <w:tcW w:w="160" w:type="dxa"/>
            <w:vAlign w:val="bottom"/>
            <w:tcBorders>
              <w:bottom w:val="single" w:sz="8" w:color="E4E4E4"/>
            </w:tcBorders>
          </w:tcPr>
          <w:p>
            <w:pPr>
              <w:spacing w:after="0"/>
              <w:rPr>
                <w:sz w:val="19"/>
                <w:szCs w:val="19"/>
                <w:color w:val="auto"/>
              </w:rPr>
            </w:pPr>
          </w:p>
        </w:tc>
        <w:tc>
          <w:tcPr>
            <w:tcW w:w="360" w:type="dxa"/>
            <w:vAlign w:val="bottom"/>
            <w:tcBorders>
              <w:top w:val="single" w:sz="8" w:color="1E1E1E"/>
              <w:bottom w:val="single" w:sz="8" w:color="1E1E1E"/>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(17,806)</w:t>
            </w:r>
          </w:p>
        </w:tc>
        <w:tc>
          <w:tcPr>
            <w:tcW w:w="260" w:type="dxa"/>
            <w:vAlign w:val="bottom"/>
            <w:tcBorders>
              <w:bottom w:val="single" w:sz="8" w:color="E4E4E4"/>
            </w:tcBorders>
          </w:tcPr>
          <w:p>
            <w:pPr>
              <w:spacing w:after="0"/>
              <w:rPr>
                <w:sz w:val="19"/>
                <w:szCs w:val="19"/>
                <w:color w:val="auto"/>
              </w:rPr>
            </w:pPr>
          </w:p>
        </w:tc>
        <w:tc>
          <w:tcPr>
            <w:tcW w:w="360" w:type="dxa"/>
            <w:vAlign w:val="bottom"/>
            <w:tcBorders>
              <w:top w:val="single" w:sz="8" w:color="1E1E1E"/>
              <w:bottom w:val="single" w:sz="8" w:color="1E1E1E"/>
            </w:tcBorders>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(436)</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Income tax benefit</w:t>
            </w:r>
          </w:p>
        </w:tc>
        <w:tc>
          <w:tcPr>
            <w:tcW w:w="18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(18,553)</w:t>
            </w:r>
          </w:p>
        </w:tc>
        <w:tc>
          <w:tcPr>
            <w:tcW w:w="1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(17,698)</w:t>
            </w:r>
          </w:p>
        </w:tc>
        <w:tc>
          <w:tcPr>
            <w:tcW w:w="260" w:type="dxa"/>
            <w:vAlign w:val="bottom"/>
            <w:shd w:val="clear" w:color="auto" w:fill="E4E4E4"/>
          </w:tcPr>
          <w:p>
            <w:pPr>
              <w:spacing w:after="0"/>
              <w:rPr>
                <w:sz w:val="19"/>
                <w:szCs w:val="19"/>
                <w:color w:val="auto"/>
              </w:rPr>
            </w:pPr>
          </w:p>
        </w:tc>
        <w:tc>
          <w:tcPr>
            <w:tcW w:w="360" w:type="dxa"/>
            <w:vAlign w:val="bottom"/>
            <w:tcBorders>
              <w:bottom w:val="single" w:sz="8" w:color="1E1E1E"/>
            </w:tcBorders>
            <w:shd w:val="clear" w:color="auto" w:fill="E4E4E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(443)</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5119370</wp:posOffset>
            </wp:positionH>
            <wp:positionV relativeFrom="paragraph">
              <wp:posOffset>-1069340</wp:posOffset>
            </wp:positionV>
            <wp:extent cx="99504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95045" cy="1460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Effective Income Tax Rate</w:t>
      </w:r>
    </w:p>
    <w:p>
      <w:pPr>
        <w:spacing w:after="0" w:line="118"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The items accounting for the difference between income taxes computed at the U.S. federal statutory rate and our effective rate were as follows: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4"/>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0"/>
        </w:trPr>
        <w:tc>
          <w:tcPr>
            <w:tcW w:w="464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Expected U.S. federal income taxes at statutory rate</w:t>
            </w:r>
          </w:p>
        </w:tc>
        <w:tc>
          <w:tcPr>
            <w:tcW w:w="120" w:type="dxa"/>
            <w:vAlign w:val="bottom"/>
            <w:tcBorders>
              <w:top w:val="single" w:sz="8" w:color="E4E4E4"/>
            </w:tcBorders>
            <w:shd w:val="clear" w:color="auto" w:fill="E4E4E4"/>
          </w:tcPr>
          <w:p>
            <w:pPr>
              <w:spacing w:after="0"/>
              <w:rPr>
                <w:sz w:val="19"/>
                <w:szCs w:val="19"/>
                <w:color w:val="auto"/>
              </w:rPr>
            </w:pPr>
          </w:p>
        </w:tc>
        <w:tc>
          <w:tcPr>
            <w:tcW w:w="1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21.00</w:t>
            </w:r>
          </w:p>
        </w:tc>
        <w:tc>
          <w:tcPr>
            <w:tcW w:w="80" w:type="dxa"/>
            <w:vAlign w:val="bottom"/>
            <w:tcBorders>
              <w:top w:val="single" w:sz="8" w:color="E4E4E4"/>
            </w:tcBorders>
            <w:shd w:val="clear" w:color="auto" w:fill="E4E4E4"/>
          </w:tcPr>
          <w:p>
            <w:pPr>
              <w:spacing w:after="0"/>
              <w:rPr>
                <w:sz w:val="19"/>
                <w:szCs w:val="19"/>
                <w:color w:val="auto"/>
              </w:rPr>
            </w:pPr>
          </w:p>
        </w:tc>
        <w:tc>
          <w:tcPr>
            <w:tcW w:w="320" w:type="dxa"/>
            <w:vAlign w:val="bottom"/>
            <w:tcBorders>
              <w:top w:val="single" w:sz="8" w:color="E4E4E4"/>
            </w:tcBorders>
            <w:shd w:val="clear" w:color="auto" w:fill="E4E4E4"/>
          </w:tcPr>
          <w:p>
            <w:pPr>
              <w:jc w:val="right"/>
              <w:ind w:right="47"/>
              <w:spacing w:after="0" w:line="220" w:lineRule="exact"/>
              <w:rPr>
                <w:sz w:val="20"/>
                <w:szCs w:val="20"/>
                <w:color w:val="auto"/>
              </w:rPr>
            </w:pPr>
            <w:r>
              <w:rPr>
                <w:rFonts w:ascii="Times New Roman" w:cs="Times New Roman" w:eastAsia="Times New Roman" w:hAnsi="Times New Roman"/>
                <w:sz w:val="20"/>
                <w:szCs w:val="20"/>
                <w:color w:val="1E1E1E"/>
                <w:w w:val="95"/>
              </w:rPr>
              <w:t>%</w:t>
            </w:r>
          </w:p>
        </w:tc>
        <w:tc>
          <w:tcPr>
            <w:tcW w:w="116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21.00</w:t>
            </w:r>
          </w:p>
        </w:tc>
        <w:tc>
          <w:tcPr>
            <w:tcW w:w="60" w:type="dxa"/>
            <w:vAlign w:val="bottom"/>
            <w:tcBorders>
              <w:top w:val="single" w:sz="8" w:color="E4E4E4"/>
            </w:tcBorders>
            <w:shd w:val="clear" w:color="auto" w:fill="E4E4E4"/>
          </w:tcPr>
          <w:p>
            <w:pPr>
              <w:spacing w:after="0"/>
              <w:rPr>
                <w:sz w:val="19"/>
                <w:szCs w:val="19"/>
                <w:color w:val="auto"/>
              </w:rPr>
            </w:pPr>
          </w:p>
        </w:tc>
        <w:tc>
          <w:tcPr>
            <w:tcW w:w="340" w:type="dxa"/>
            <w:vAlign w:val="bottom"/>
            <w:tcBorders>
              <w:top w:val="single" w:sz="8" w:color="E4E4E4"/>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95"/>
              </w:rPr>
              <w:t>%</w:t>
            </w:r>
          </w:p>
        </w:tc>
        <w:tc>
          <w:tcPr>
            <w:tcW w:w="240" w:type="dxa"/>
            <w:vAlign w:val="bottom"/>
            <w:tcBorders>
              <w:top w:val="single" w:sz="8" w:color="1E1E1E"/>
            </w:tcBorders>
            <w:shd w:val="clear" w:color="auto" w:fill="E4E4E4"/>
          </w:tcPr>
          <w:p>
            <w:pPr>
              <w:spacing w:after="0"/>
              <w:rPr>
                <w:sz w:val="19"/>
                <w:szCs w:val="19"/>
                <w:color w:val="auto"/>
              </w:rPr>
            </w:pPr>
          </w:p>
        </w:tc>
        <w:tc>
          <w:tcPr>
            <w:tcW w:w="9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21.00</w:t>
            </w:r>
          </w:p>
        </w:tc>
        <w:tc>
          <w:tcPr>
            <w:tcW w:w="80" w:type="dxa"/>
            <w:vAlign w:val="bottom"/>
            <w:tcBorders>
              <w:top w:val="single" w:sz="8" w:color="E4E4E4"/>
            </w:tcBorders>
            <w:shd w:val="clear" w:color="auto" w:fill="E4E4E4"/>
          </w:tcPr>
          <w:p>
            <w:pPr>
              <w:spacing w:after="0"/>
              <w:rPr>
                <w:sz w:val="19"/>
                <w:szCs w:val="19"/>
                <w:color w:val="auto"/>
              </w:rPr>
            </w:pPr>
          </w:p>
        </w:tc>
        <w:tc>
          <w:tcPr>
            <w:tcW w:w="220" w:type="dxa"/>
            <w:vAlign w:val="bottom"/>
            <w:tcBorders>
              <w:top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95"/>
              </w:rPr>
              <w:t>%</w:t>
            </w:r>
          </w:p>
        </w:tc>
      </w:tr>
      <w:tr>
        <w:trPr>
          <w:trHeight w:val="230"/>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Change in valuation allowance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(35.31)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6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State and local income taxes, net of federal benefit</w:t>
            </w:r>
          </w:p>
        </w:tc>
        <w:tc>
          <w:tcPr>
            <w:tcW w:w="1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2.35</w:t>
            </w:r>
          </w:p>
        </w:tc>
        <w:tc>
          <w:tcPr>
            <w:tcW w:w="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37.87</w:t>
            </w:r>
          </w:p>
        </w:tc>
        <w:tc>
          <w:tcPr>
            <w:tcW w:w="6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(0.29)</w:t>
            </w:r>
          </w:p>
        </w:tc>
        <w:tc>
          <w:tcPr>
            <w:tcW w:w="220" w:type="dxa"/>
            <w:vAlign w:val="bottom"/>
            <w:shd w:val="clear" w:color="auto" w:fill="E4E4E4"/>
          </w:tcPr>
          <w:p>
            <w:pPr>
              <w:spacing w:after="0"/>
              <w:rPr>
                <w:sz w:val="19"/>
                <w:szCs w:val="19"/>
                <w:color w:val="auto"/>
              </w:rPr>
            </w:pPr>
          </w:p>
        </w:tc>
      </w:tr>
      <w:tr>
        <w:trPr>
          <w:trHeight w:val="230"/>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Outside basis adjustment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17.82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6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Partnership income, not subject to taxation</w:t>
            </w:r>
          </w:p>
        </w:tc>
        <w:tc>
          <w:tcPr>
            <w:tcW w:w="1360" w:type="dxa"/>
            <w:vAlign w:val="bottom"/>
            <w:gridSpan w:val="3"/>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(5.57)</w:t>
            </w:r>
          </w:p>
        </w:tc>
        <w:tc>
          <w:tcPr>
            <w:tcW w:w="320" w:type="dxa"/>
            <w:vAlign w:val="bottom"/>
            <w:shd w:val="clear" w:color="auto" w:fill="E4E4E4"/>
          </w:tcPr>
          <w:p>
            <w:pPr>
              <w:spacing w:after="0"/>
              <w:rPr>
                <w:sz w:val="19"/>
                <w:szCs w:val="19"/>
                <w:color w:val="auto"/>
              </w:rPr>
            </w:pPr>
          </w:p>
        </w:tc>
        <w:tc>
          <w:tcPr>
            <w:tcW w:w="12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(8.50)</w:t>
            </w:r>
          </w:p>
        </w:tc>
        <w:tc>
          <w:tcPr>
            <w:tcW w:w="3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(19.55)</w:t>
            </w:r>
          </w:p>
        </w:tc>
        <w:tc>
          <w:tcPr>
            <w:tcW w:w="220" w:type="dxa"/>
            <w:vAlign w:val="bottom"/>
            <w:shd w:val="clear" w:color="auto" w:fill="E4E4E4"/>
          </w:tcPr>
          <w:p>
            <w:pPr>
              <w:spacing w:after="0"/>
              <w:rPr>
                <w:sz w:val="19"/>
                <w:szCs w:val="19"/>
                <w:color w:val="auto"/>
              </w:rPr>
            </w:pPr>
          </w:p>
        </w:tc>
      </w:tr>
      <w:tr>
        <w:trPr>
          <w:trHeight w:val="230"/>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Return to provision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6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TRA remeasurement</w:t>
            </w:r>
          </w:p>
        </w:tc>
        <w:tc>
          <w:tcPr>
            <w:tcW w:w="1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8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4.87</w:t>
            </w:r>
          </w:p>
        </w:tc>
        <w:tc>
          <w:tcPr>
            <w:tcW w:w="6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0.05</w:t>
            </w:r>
          </w:p>
        </w:tc>
        <w:tc>
          <w:tcPr>
            <w:tcW w:w="8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r>
      <w:tr>
        <w:trPr>
          <w:trHeight w:val="230"/>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Research and development credits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0.15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6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Foreign rate differential</w:t>
            </w:r>
          </w:p>
        </w:tc>
        <w:tc>
          <w:tcPr>
            <w:tcW w:w="1360" w:type="dxa"/>
            <w:vAlign w:val="bottom"/>
            <w:gridSpan w:val="3"/>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(0.03)</w:t>
            </w:r>
          </w:p>
        </w:tc>
        <w:tc>
          <w:tcPr>
            <w:tcW w:w="32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1.27</w:t>
            </w:r>
          </w:p>
        </w:tc>
        <w:tc>
          <w:tcPr>
            <w:tcW w:w="6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(0.02)</w:t>
            </w:r>
          </w:p>
        </w:tc>
        <w:tc>
          <w:tcPr>
            <w:tcW w:w="220" w:type="dxa"/>
            <w:vAlign w:val="bottom"/>
            <w:shd w:val="clear" w:color="auto" w:fill="E4E4E4"/>
          </w:tcPr>
          <w:p>
            <w:pPr>
              <w:spacing w:after="0"/>
              <w:rPr>
                <w:sz w:val="19"/>
                <w:szCs w:val="19"/>
                <w:color w:val="auto"/>
              </w:rPr>
            </w:pPr>
          </w:p>
        </w:tc>
      </w:tr>
      <w:tr>
        <w:trPr>
          <w:trHeight w:val="230"/>
        </w:trPr>
        <w:tc>
          <w:tcPr>
            <w:tcW w:w="46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Stock compensation</w:t>
            </w: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(1.16)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19"/>
                <w:szCs w:val="19"/>
                <w:color w:val="auto"/>
              </w:rPr>
            </w:pPr>
          </w:p>
        </w:tc>
      </w:tr>
      <w:tr>
        <w:trPr>
          <w:trHeight w:val="230"/>
        </w:trPr>
        <w:tc>
          <w:tcPr>
            <w:tcW w:w="46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1360" w:type="dxa"/>
            <w:vAlign w:val="bottom"/>
            <w:gridSpan w:val="3"/>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1E1E1E"/>
              </w:rPr>
              <w:t>(0.14)</w:t>
            </w:r>
          </w:p>
        </w:tc>
        <w:tc>
          <w:tcPr>
            <w:tcW w:w="320" w:type="dxa"/>
            <w:vAlign w:val="bottom"/>
            <w:shd w:val="clear" w:color="auto" w:fill="E4E4E4"/>
          </w:tcPr>
          <w:p>
            <w:pPr>
              <w:spacing w:after="0"/>
              <w:rPr>
                <w:sz w:val="19"/>
                <w:szCs w:val="19"/>
                <w:color w:val="auto"/>
              </w:rPr>
            </w:pPr>
          </w:p>
        </w:tc>
        <w:tc>
          <w:tcPr>
            <w:tcW w:w="12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(0.67)</w:t>
            </w:r>
          </w:p>
        </w:tc>
        <w:tc>
          <w:tcPr>
            <w:tcW w:w="3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(0.09)</w:t>
            </w:r>
          </w:p>
        </w:tc>
        <w:tc>
          <w:tcPr>
            <w:tcW w:w="220" w:type="dxa"/>
            <w:vAlign w:val="bottom"/>
            <w:shd w:val="clear" w:color="auto" w:fill="E4E4E4"/>
          </w:tcPr>
          <w:p>
            <w:pPr>
              <w:spacing w:after="0"/>
              <w:rPr>
                <w:sz w:val="19"/>
                <w:szCs w:val="19"/>
                <w:color w:val="auto"/>
              </w:rPr>
            </w:pPr>
          </w:p>
        </w:tc>
      </w:tr>
      <w:tr>
        <w:trPr>
          <w:trHeight w:val="220"/>
        </w:trPr>
        <w:tc>
          <w:tcPr>
            <w:tcW w:w="46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Effective income tax rate</w:t>
            </w:r>
          </w:p>
        </w:tc>
        <w:tc>
          <w:tcPr>
            <w:tcW w:w="120" w:type="dxa"/>
            <w:vAlign w:val="bottom"/>
          </w:tcPr>
          <w:p>
            <w:pPr>
              <w:spacing w:after="0"/>
              <w:rPr>
                <w:sz w:val="19"/>
                <w:szCs w:val="19"/>
                <w:color w:val="auto"/>
              </w:rPr>
            </w:pP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6.02</w:t>
            </w:r>
          </w:p>
        </w:tc>
        <w:tc>
          <w:tcPr>
            <w:tcW w:w="80" w:type="dxa"/>
            <w:vAlign w:val="bottom"/>
          </w:tcPr>
          <w:p>
            <w:pPr>
              <w:spacing w:after="0"/>
              <w:rPr>
                <w:sz w:val="19"/>
                <w:szCs w:val="19"/>
                <w:color w:val="auto"/>
              </w:rPr>
            </w:pPr>
          </w:p>
        </w:tc>
        <w:tc>
          <w:tcPr>
            <w:tcW w:w="320" w:type="dxa"/>
            <w:vAlign w:val="bottom"/>
          </w:tcPr>
          <w:p>
            <w:pPr>
              <w:jc w:val="right"/>
              <w:ind w:right="47"/>
              <w:spacing w:after="0" w:line="220" w:lineRule="exact"/>
              <w:rPr>
                <w:sz w:val="20"/>
                <w:szCs w:val="20"/>
                <w:color w:val="auto"/>
              </w:rPr>
            </w:pPr>
            <w:r>
              <w:rPr>
                <w:rFonts w:ascii="Times New Roman" w:cs="Times New Roman" w:eastAsia="Times New Roman" w:hAnsi="Times New Roman"/>
                <w:sz w:val="20"/>
                <w:szCs w:val="20"/>
                <w:color w:val="1E1E1E"/>
                <w:w w:val="95"/>
              </w:rPr>
              <w:t>%</w:t>
            </w: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42.26</w:t>
            </w:r>
          </w:p>
        </w:tc>
        <w:tc>
          <w:tcPr>
            <w:tcW w:w="60" w:type="dxa"/>
            <w:vAlign w:val="bottom"/>
          </w:tcPr>
          <w:p>
            <w:pPr>
              <w:spacing w:after="0"/>
              <w:rPr>
                <w:sz w:val="19"/>
                <w:szCs w:val="19"/>
                <w:color w:val="auto"/>
              </w:rPr>
            </w:pPr>
          </w:p>
        </w:tc>
        <w:tc>
          <w:tcPr>
            <w:tcW w:w="34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95"/>
              </w:rPr>
              <w:t>%</w:t>
            </w:r>
          </w:p>
        </w:tc>
        <w:tc>
          <w:tcPr>
            <w:tcW w:w="240" w:type="dxa"/>
            <w:vAlign w:val="bottom"/>
            <w:tcBorders>
              <w:top w:val="single" w:sz="8" w:color="1E1E1E"/>
              <w:bottom w:val="single" w:sz="8" w:color="1E1E1E"/>
            </w:tcBorders>
          </w:tcPr>
          <w:p>
            <w:pPr>
              <w:spacing w:after="0"/>
              <w:rPr>
                <w:sz w:val="19"/>
                <w:szCs w:val="19"/>
                <w:color w:val="auto"/>
              </w:rPr>
            </w:pPr>
          </w:p>
        </w:tc>
        <w:tc>
          <w:tcPr>
            <w:tcW w:w="9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0.71</w:t>
            </w:r>
          </w:p>
        </w:tc>
        <w:tc>
          <w:tcPr>
            <w:tcW w:w="80" w:type="dxa"/>
            <w:vAlign w:val="bottom"/>
          </w:tcPr>
          <w:p>
            <w:pPr>
              <w:spacing w:after="0"/>
              <w:rPr>
                <w:sz w:val="19"/>
                <w:szCs w:val="19"/>
                <w:color w:val="auto"/>
              </w:rPr>
            </w:pPr>
          </w:p>
        </w:tc>
        <w:tc>
          <w:tcPr>
            <w:tcW w:w="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1E1E1E"/>
                <w:w w:val="95"/>
              </w:rPr>
              <w:t>%</w:t>
            </w: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80"/>
          </w:cols>
          <w:pgMar w:left="820" w:top="803" w:right="12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color w:val="1E1E1E"/>
        </w:rPr>
        <w:t>F-50</w:t>
      </w:r>
    </w:p>
    <w:p>
      <w:pPr>
        <w:sectPr>
          <w:pgSz w:w="11880" w:h="15480" w:orient="portrait"/>
          <w:cols w:equalWidth="0" w:num="1">
            <w:col w:w="9780"/>
          </w:cols>
          <w:pgMar w:left="820" w:top="803" w:right="1280" w:bottom="8"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1E1E1E"/>
        </w:rPr>
        <w:t>Deferred Tax Assets and Liabilities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components of deferred tax assets and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235585</wp:posOffset>
            </wp:positionV>
            <wp:extent cx="179578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5780" cy="63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259"/>
        </w:trPr>
        <w:tc>
          <w:tcPr>
            <w:tcW w:w="62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22"/>
                <w:szCs w:val="22"/>
                <w:color w:val="auto"/>
              </w:rPr>
            </w:pPr>
          </w:p>
        </w:tc>
        <w:tc>
          <w:tcPr>
            <w:tcW w:w="280" w:type="dxa"/>
            <w:vAlign w:val="bottom"/>
            <w:tcBorders>
              <w:top w:val="single" w:sz="8" w:color="1E1E1E"/>
              <w:bottom w:val="single" w:sz="8" w:color="1E1E1E"/>
            </w:tcBorders>
          </w:tcPr>
          <w:p>
            <w:pPr>
              <w:spacing w:after="0"/>
              <w:rPr>
                <w:sz w:val="22"/>
                <w:szCs w:val="22"/>
                <w:color w:val="auto"/>
              </w:rPr>
            </w:pPr>
          </w:p>
        </w:tc>
        <w:tc>
          <w:tcPr>
            <w:tcW w:w="1000" w:type="dxa"/>
            <w:vAlign w:val="bottom"/>
            <w:tcBorders>
              <w:top w:val="single" w:sz="8" w:color="1E1E1E"/>
              <w:bottom w:val="single" w:sz="8" w:color="1E1E1E"/>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top w:val="single" w:sz="8" w:color="1E1E1E"/>
              <w:bottom w:val="single" w:sz="8" w:color="E4E4E4"/>
            </w:tcBorders>
          </w:tcPr>
          <w:p>
            <w:pPr>
              <w:spacing w:after="0"/>
              <w:rPr>
                <w:sz w:val="22"/>
                <w:szCs w:val="22"/>
                <w:color w:val="auto"/>
              </w:rPr>
            </w:pPr>
          </w:p>
        </w:tc>
        <w:tc>
          <w:tcPr>
            <w:tcW w:w="300" w:type="dxa"/>
            <w:vAlign w:val="bottom"/>
            <w:tcBorders>
              <w:top w:val="single" w:sz="8" w:color="1E1E1E"/>
              <w:bottom w:val="single" w:sz="8" w:color="1E1E1E"/>
            </w:tcBorders>
          </w:tcPr>
          <w:p>
            <w:pPr>
              <w:spacing w:after="0"/>
              <w:rPr>
                <w:sz w:val="22"/>
                <w:szCs w:val="22"/>
                <w:color w:val="auto"/>
              </w:rPr>
            </w:pPr>
          </w:p>
        </w:tc>
        <w:tc>
          <w:tcPr>
            <w:tcW w:w="1000" w:type="dxa"/>
            <w:vAlign w:val="bottom"/>
            <w:tcBorders>
              <w:top w:val="single" w:sz="8" w:color="1E1E1E"/>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22"/>
                <w:szCs w:val="22"/>
                <w:color w:val="auto"/>
              </w:rPr>
            </w:pPr>
          </w:p>
        </w:tc>
      </w:tr>
      <w:tr>
        <w:trPr>
          <w:trHeight w:val="220"/>
        </w:trPr>
        <w:tc>
          <w:tcPr>
            <w:tcW w:w="62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Deferred income tax assets:</w:t>
            </w:r>
          </w:p>
        </w:tc>
        <w:tc>
          <w:tcPr>
            <w:tcW w:w="1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Net operating loss carry forwards</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58,015</w:t>
            </w:r>
          </w:p>
        </w:tc>
        <w:tc>
          <w:tcPr>
            <w:tcW w:w="24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52,534</w:t>
            </w:r>
          </w:p>
        </w:tc>
        <w:tc>
          <w:tcPr>
            <w:tcW w:w="100" w:type="dxa"/>
            <w:vAlign w:val="bottom"/>
          </w:tcPr>
          <w:p>
            <w:pPr>
              <w:spacing w:after="0"/>
              <w:rPr>
                <w:sz w:val="19"/>
                <w:szCs w:val="19"/>
                <w:color w:val="auto"/>
              </w:rPr>
            </w:pPr>
          </w:p>
        </w:tc>
      </w:tr>
      <w:tr>
        <w:trPr>
          <w:trHeight w:val="230"/>
        </w:trPr>
        <w:tc>
          <w:tcPr>
            <w:tcW w:w="62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Outside partnership basis difference</w:t>
            </w:r>
          </w:p>
        </w:tc>
        <w:tc>
          <w:tcPr>
            <w:tcW w:w="1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114,815</w:t>
            </w: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61,895</w:t>
            </w:r>
          </w:p>
        </w:tc>
        <w:tc>
          <w:tcPr>
            <w:tcW w:w="100" w:type="dxa"/>
            <w:vAlign w:val="bottom"/>
            <w:shd w:val="clear" w:color="auto" w:fill="E4E4E4"/>
          </w:tcPr>
          <w:p>
            <w:pPr>
              <w:spacing w:after="0"/>
              <w:rPr>
                <w:sz w:val="19"/>
                <w:szCs w:val="19"/>
                <w:color w:val="auto"/>
              </w:rPr>
            </w:pPr>
          </w:p>
        </w:tc>
      </w:tr>
      <w:tr>
        <w:trPr>
          <w:trHeight w:val="230"/>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Tax receivable agreement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11,801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11,271</w:t>
            </w:r>
          </w:p>
        </w:tc>
        <w:tc>
          <w:tcPr>
            <w:tcW w:w="100" w:type="dxa"/>
            <w:vAlign w:val="bottom"/>
          </w:tcPr>
          <w:p>
            <w:pPr>
              <w:spacing w:after="0"/>
              <w:rPr>
                <w:sz w:val="19"/>
                <w:szCs w:val="19"/>
                <w:color w:val="auto"/>
              </w:rPr>
            </w:pPr>
          </w:p>
        </w:tc>
      </w:tr>
      <w:tr>
        <w:trPr>
          <w:trHeight w:val="230"/>
        </w:trPr>
        <w:tc>
          <w:tcPr>
            <w:tcW w:w="62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Stock compensation</w:t>
            </w:r>
          </w:p>
        </w:tc>
        <w:tc>
          <w:tcPr>
            <w:tcW w:w="1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7,892</w:t>
            </w: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624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160" w:type="dxa"/>
            <w:vAlign w:val="bottom"/>
            <w:tcBorders>
              <w:bottom w:val="single" w:sz="8" w:color="E4E4E4"/>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6,553</w:t>
            </w:r>
          </w:p>
        </w:tc>
        <w:tc>
          <w:tcPr>
            <w:tcW w:w="240" w:type="dxa"/>
            <w:vAlign w:val="bottom"/>
            <w:tcBorders>
              <w:bottom w:val="single" w:sz="8" w:color="E4E4E4"/>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1,131</w:t>
            </w:r>
          </w:p>
        </w:tc>
        <w:tc>
          <w:tcPr>
            <w:tcW w:w="100" w:type="dxa"/>
            <w:vAlign w:val="bottom"/>
            <w:tcBorders>
              <w:bottom w:val="single" w:sz="8" w:color="E4E4E4"/>
            </w:tcBorders>
          </w:tcPr>
          <w:p>
            <w:pPr>
              <w:spacing w:after="0"/>
              <w:rPr>
                <w:sz w:val="19"/>
                <w:szCs w:val="19"/>
                <w:color w:val="auto"/>
              </w:rPr>
            </w:pPr>
          </w:p>
        </w:tc>
      </w:tr>
      <w:tr>
        <w:trPr>
          <w:trHeight w:val="220"/>
        </w:trPr>
        <w:tc>
          <w:tcPr>
            <w:tcW w:w="62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Deferred income tax assets</w:t>
            </w:r>
          </w:p>
        </w:tc>
        <w:tc>
          <w:tcPr>
            <w:tcW w:w="1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199,076</w:t>
            </w: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126,831</w:t>
            </w:r>
          </w:p>
        </w:tc>
        <w:tc>
          <w:tcPr>
            <w:tcW w:w="100" w:type="dxa"/>
            <w:vAlign w:val="bottom"/>
            <w:shd w:val="clear" w:color="auto" w:fill="E4E4E4"/>
          </w:tcPr>
          <w:p>
            <w:pPr>
              <w:spacing w:after="0"/>
              <w:rPr>
                <w:sz w:val="19"/>
                <w:szCs w:val="19"/>
                <w:color w:val="auto"/>
              </w:rPr>
            </w:pPr>
          </w:p>
        </w:tc>
      </w:tr>
      <w:tr>
        <w:trPr>
          <w:trHeight w:val="230"/>
        </w:trPr>
        <w:tc>
          <w:tcPr>
            <w:tcW w:w="62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Less valuation allowance</w:t>
            </w:r>
          </w:p>
        </w:tc>
        <w:tc>
          <w:tcPr>
            <w:tcW w:w="160" w:type="dxa"/>
            <w:vAlign w:val="bottom"/>
            <w:tcBorders>
              <w:bottom w:val="single" w:sz="8" w:color="E4E4E4"/>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(244,082)</w:t>
            </w:r>
          </w:p>
        </w:tc>
        <w:tc>
          <w:tcPr>
            <w:tcW w:w="240" w:type="dxa"/>
            <w:vAlign w:val="bottom"/>
            <w:tcBorders>
              <w:bottom w:val="single" w:sz="8" w:color="E4E4E4"/>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(188,237)</w:t>
            </w:r>
          </w:p>
        </w:tc>
        <w:tc>
          <w:tcPr>
            <w:tcW w:w="100" w:type="dxa"/>
            <w:vAlign w:val="bottom"/>
            <w:tcBorders>
              <w:bottom w:val="single" w:sz="8" w:color="E4E4E4"/>
            </w:tcBorders>
          </w:tcPr>
          <w:p>
            <w:pPr>
              <w:spacing w:after="0"/>
              <w:rPr>
                <w:sz w:val="19"/>
                <w:szCs w:val="19"/>
                <w:color w:val="auto"/>
              </w:rPr>
            </w:pPr>
          </w:p>
        </w:tc>
      </w:tr>
      <w:tr>
        <w:trPr>
          <w:trHeight w:val="240"/>
        </w:trPr>
        <w:tc>
          <w:tcPr>
            <w:tcW w:w="6240" w:type="dxa"/>
            <w:vAlign w:val="bottom"/>
            <w:tcBorders>
              <w:bottom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Deferred income tax assets, net of valuation allowance</w:t>
            </w:r>
          </w:p>
        </w:tc>
        <w:tc>
          <w:tcPr>
            <w:tcW w:w="16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1E1E1E"/>
            </w:tcBorders>
            <w:shd w:val="clear" w:color="auto" w:fill="E4E4E4"/>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(45,006)</w:t>
            </w:r>
          </w:p>
        </w:tc>
        <w:tc>
          <w:tcPr>
            <w:tcW w:w="2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1E1E1E"/>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(61,406)</w:t>
            </w:r>
          </w:p>
        </w:tc>
        <w:tc>
          <w:tcPr>
            <w:tcW w:w="100" w:type="dxa"/>
            <w:vAlign w:val="bottom"/>
            <w:tcBorders>
              <w:bottom w:val="single" w:sz="8" w:color="E4E4E4"/>
            </w:tcBorders>
            <w:shd w:val="clear" w:color="auto" w:fill="E4E4E4"/>
          </w:tcPr>
          <w:p>
            <w:pPr>
              <w:spacing w:after="0"/>
              <w:rPr>
                <w:sz w:val="20"/>
                <w:szCs w:val="20"/>
                <w:color w:val="auto"/>
              </w:rPr>
            </w:pPr>
          </w:p>
        </w:tc>
      </w:tr>
      <w:tr>
        <w:trPr>
          <w:trHeight w:val="200"/>
        </w:trPr>
        <w:tc>
          <w:tcPr>
            <w:tcW w:w="62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1E1E1E"/>
              </w:rPr>
              <w:t>Deferred income tax liabilities: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Goodwill and intangibles</w:t>
            </w:r>
          </w:p>
        </w:tc>
        <w:tc>
          <w:tcPr>
            <w:tcW w:w="44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(21,616)</w:t>
            </w:r>
          </w:p>
        </w:tc>
        <w:tc>
          <w:tcPr>
            <w:tcW w:w="300" w:type="dxa"/>
            <w:vAlign w:val="bottom"/>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(14,126)</w:t>
            </w:r>
          </w:p>
        </w:tc>
      </w:tr>
      <w:tr>
        <w:trPr>
          <w:trHeight w:val="230"/>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Deferred revenue and advances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(541)</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(107)</w:t>
            </w:r>
          </w:p>
        </w:tc>
      </w:tr>
      <w:tr>
        <w:trPr>
          <w:trHeight w:val="220"/>
        </w:trPr>
        <w:tc>
          <w:tcPr>
            <w:tcW w:w="624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Deferred income tax liabilities</w:t>
            </w:r>
          </w:p>
        </w:tc>
        <w:tc>
          <w:tcPr>
            <w:tcW w:w="160" w:type="dxa"/>
            <w:vAlign w:val="bottom"/>
            <w:tcBorders>
              <w:top w:val="single" w:sz="8" w:color="E4E4E4"/>
            </w:tcBorders>
            <w:shd w:val="clear" w:color="auto" w:fill="E4E4E4"/>
          </w:tcPr>
          <w:p>
            <w:pPr>
              <w:spacing w:after="0"/>
              <w:rPr>
                <w:sz w:val="19"/>
                <w:szCs w:val="19"/>
                <w:color w:val="auto"/>
              </w:rPr>
            </w:pPr>
          </w:p>
        </w:tc>
        <w:tc>
          <w:tcPr>
            <w:tcW w:w="280" w:type="dxa"/>
            <w:vAlign w:val="bottom"/>
            <w:tcBorders>
              <w:top w:val="single" w:sz="8" w:color="1E1E1E"/>
            </w:tcBorders>
            <w:shd w:val="clear" w:color="auto" w:fill="E4E4E4"/>
          </w:tcPr>
          <w:p>
            <w:pPr>
              <w:spacing w:after="0"/>
              <w:rPr>
                <w:sz w:val="19"/>
                <w:szCs w:val="19"/>
                <w:color w:val="auto"/>
              </w:rPr>
            </w:pPr>
          </w:p>
        </w:tc>
        <w:tc>
          <w:tcPr>
            <w:tcW w:w="10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(22,157)</w:t>
            </w:r>
          </w:p>
        </w:tc>
        <w:tc>
          <w:tcPr>
            <w:tcW w:w="240" w:type="dxa"/>
            <w:vAlign w:val="bottom"/>
            <w:tcBorders>
              <w:top w:val="single" w:sz="8" w:color="E4E4E4"/>
            </w:tcBorders>
            <w:shd w:val="clear" w:color="auto" w:fill="E4E4E4"/>
          </w:tcPr>
          <w:p>
            <w:pPr>
              <w:spacing w:after="0"/>
              <w:rPr>
                <w:sz w:val="19"/>
                <w:szCs w:val="19"/>
                <w:color w:val="auto"/>
              </w:rPr>
            </w:pPr>
          </w:p>
        </w:tc>
        <w:tc>
          <w:tcPr>
            <w:tcW w:w="300" w:type="dxa"/>
            <w:vAlign w:val="bottom"/>
            <w:tcBorders>
              <w:top w:val="single" w:sz="8" w:color="1E1E1E"/>
            </w:tcBorders>
            <w:shd w:val="clear" w:color="auto" w:fill="E4E4E4"/>
          </w:tcPr>
          <w:p>
            <w:pPr>
              <w:spacing w:after="0"/>
              <w:rPr>
                <w:sz w:val="19"/>
                <w:szCs w:val="19"/>
                <w:color w:val="auto"/>
              </w:rPr>
            </w:pPr>
          </w:p>
        </w:tc>
        <w:tc>
          <w:tcPr>
            <w:tcW w:w="100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(14,233)</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1E1E1E"/>
              </w:rPr>
              <w:t>Net deferred tax liabilities</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(67,163)</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(75,639)</w:t>
            </w: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2540" w:type="dxa"/>
            <w:vAlign w:val="bottom"/>
            <w:tcBorders>
              <w:bottom w:val="single" w:sz="8" w:color="1E1E1E"/>
            </w:tcBorders>
            <w:gridSpan w:val="4"/>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6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259"/>
        </w:trPr>
        <w:tc>
          <w:tcPr>
            <w:tcW w:w="62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22"/>
                <w:szCs w:val="22"/>
                <w:color w:val="auto"/>
              </w:rPr>
            </w:pPr>
          </w:p>
        </w:tc>
        <w:tc>
          <w:tcPr>
            <w:tcW w:w="280" w:type="dxa"/>
            <w:vAlign w:val="bottom"/>
            <w:tcBorders>
              <w:top w:val="single" w:sz="8" w:color="1E1E1E"/>
              <w:bottom w:val="single" w:sz="8" w:color="1E1E1E"/>
            </w:tcBorders>
          </w:tcPr>
          <w:p>
            <w:pPr>
              <w:spacing w:after="0"/>
              <w:rPr>
                <w:sz w:val="22"/>
                <w:szCs w:val="22"/>
                <w:color w:val="auto"/>
              </w:rPr>
            </w:pPr>
          </w:p>
        </w:tc>
        <w:tc>
          <w:tcPr>
            <w:tcW w:w="1000" w:type="dxa"/>
            <w:vAlign w:val="bottom"/>
            <w:tcBorders>
              <w:top w:val="single" w:sz="8" w:color="1E1E1E"/>
              <w:bottom w:val="single" w:sz="8" w:color="1E1E1E"/>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top w:val="single" w:sz="8" w:color="1E1E1E"/>
              <w:bottom w:val="single" w:sz="8" w:color="E4E4E4"/>
            </w:tcBorders>
          </w:tcPr>
          <w:p>
            <w:pPr>
              <w:spacing w:after="0"/>
              <w:rPr>
                <w:sz w:val="22"/>
                <w:szCs w:val="22"/>
                <w:color w:val="auto"/>
              </w:rPr>
            </w:pPr>
          </w:p>
        </w:tc>
        <w:tc>
          <w:tcPr>
            <w:tcW w:w="300" w:type="dxa"/>
            <w:vAlign w:val="bottom"/>
            <w:tcBorders>
              <w:top w:val="single" w:sz="8" w:color="1E1E1E"/>
              <w:bottom w:val="single" w:sz="8" w:color="1E1E1E"/>
            </w:tcBorders>
          </w:tcPr>
          <w:p>
            <w:pPr>
              <w:spacing w:after="0"/>
              <w:rPr>
                <w:sz w:val="22"/>
                <w:szCs w:val="22"/>
                <w:color w:val="auto"/>
              </w:rPr>
            </w:pPr>
          </w:p>
        </w:tc>
        <w:tc>
          <w:tcPr>
            <w:tcW w:w="1000" w:type="dxa"/>
            <w:vAlign w:val="bottom"/>
            <w:tcBorders>
              <w:top w:val="single" w:sz="8" w:color="1E1E1E"/>
              <w:bottom w:val="single" w:sz="8" w:color="1E1E1E"/>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22"/>
                <w:szCs w:val="22"/>
                <w:color w:val="auto"/>
              </w:rPr>
            </w:pPr>
          </w:p>
        </w:tc>
      </w:tr>
      <w:tr>
        <w:trPr>
          <w:trHeight w:val="220"/>
        </w:trPr>
        <w:tc>
          <w:tcPr>
            <w:tcW w:w="62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Reported as:</w:t>
            </w:r>
          </w:p>
        </w:tc>
        <w:tc>
          <w:tcPr>
            <w:tcW w:w="1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6240" w:type="dxa"/>
            <w:vAlign w:val="bottom"/>
          </w:tcPr>
          <w:p>
            <w:pPr>
              <w:ind w:left="200"/>
              <w:spacing w:after="0"/>
              <w:rPr>
                <w:sz w:val="20"/>
                <w:szCs w:val="20"/>
                <w:color w:val="auto"/>
              </w:rPr>
            </w:pPr>
            <w:r>
              <w:rPr>
                <w:rFonts w:ascii="Times New Roman" w:cs="Times New Roman" w:eastAsia="Times New Roman" w:hAnsi="Times New Roman"/>
                <w:sz w:val="20"/>
                <w:szCs w:val="20"/>
                <w:color w:val="1E1E1E"/>
              </w:rPr>
              <w:t>Non-current deferred tax assets (included within Other assets)</w:t>
            </w:r>
          </w:p>
        </w:tc>
        <w:tc>
          <w:tcPr>
            <w:tcW w:w="1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98</w:t>
            </w:r>
          </w:p>
        </w:tc>
        <w:tc>
          <w:tcPr>
            <w:tcW w:w="100" w:type="dxa"/>
            <w:vAlign w:val="bottom"/>
          </w:tcPr>
          <w:p>
            <w:pPr>
              <w:spacing w:after="0"/>
              <w:rPr>
                <w:sz w:val="19"/>
                <w:szCs w:val="19"/>
                <w:color w:val="auto"/>
              </w:rPr>
            </w:pPr>
          </w:p>
        </w:tc>
      </w:tr>
      <w:tr>
        <w:trPr>
          <w:trHeight w:val="230"/>
        </w:trPr>
        <w:tc>
          <w:tcPr>
            <w:tcW w:w="62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1E1E1E"/>
              </w:rPr>
              <w:t>Non-current deferred tax liabilities</w:t>
            </w:r>
          </w:p>
        </w:tc>
        <w:tc>
          <w:tcPr>
            <w:tcW w:w="16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24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1E1E1E"/>
              </w:rPr>
              <w:t>(67,163)</w:t>
            </w:r>
          </w:p>
        </w:tc>
        <w:tc>
          <w:tcPr>
            <w:tcW w:w="30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1E1E1E"/>
              </w:rPr>
              <w:t>(75,737)</w:t>
            </w:r>
          </w:p>
        </w:tc>
      </w:tr>
      <w:tr>
        <w:trPr>
          <w:trHeight w:val="220"/>
        </w:trPr>
        <w:tc>
          <w:tcPr>
            <w:tcW w:w="6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Net deferred tax liabilities</w:t>
            </w:r>
          </w:p>
        </w:tc>
        <w:tc>
          <w:tcPr>
            <w:tcW w:w="160" w:type="dxa"/>
            <w:vAlign w:val="bottom"/>
          </w:tcPr>
          <w:p>
            <w:pPr>
              <w:spacing w:after="0"/>
              <w:rPr>
                <w:sz w:val="19"/>
                <w:szCs w:val="19"/>
                <w:color w:val="auto"/>
              </w:rPr>
            </w:pPr>
          </w:p>
        </w:tc>
        <w:tc>
          <w:tcPr>
            <w:tcW w:w="280" w:type="dxa"/>
            <w:vAlign w:val="bottom"/>
            <w:tcBorders>
              <w:top w:val="single" w:sz="8" w:color="1E1E1E"/>
              <w:bottom w:val="single" w:sz="8" w:color="1E1E1E"/>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(67,163)</w:t>
            </w:r>
          </w:p>
        </w:tc>
        <w:tc>
          <w:tcPr>
            <w:tcW w:w="240" w:type="dxa"/>
            <w:vAlign w:val="bottom"/>
          </w:tcPr>
          <w:p>
            <w:pPr>
              <w:spacing w:after="0"/>
              <w:rPr>
                <w:sz w:val="19"/>
                <w:szCs w:val="19"/>
                <w:color w:val="auto"/>
              </w:rPr>
            </w:pPr>
          </w:p>
        </w:tc>
        <w:tc>
          <w:tcPr>
            <w:tcW w:w="300" w:type="dxa"/>
            <w:vAlign w:val="bottom"/>
            <w:tcBorders>
              <w:top w:val="single" w:sz="8" w:color="1E1E1E"/>
              <w:bottom w:val="single" w:sz="8" w:color="1E1E1E"/>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(75,639)</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20"/>
          <w:szCs w:val="20"/>
          <w:color w:val="1E1E1E"/>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45"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E1E1E"/>
        </w:rPr>
        <w:t>The federal tax loss carryforward of $212.9 million has an unlimited carryforward period. The federal research and development tax credit carryforwards of $1.2 million expires in the years 2040 through 2043. The state tax loss carryforwards of $164.1 million expires at various times in years 2023 through indefinite. The state tax credit carryforwards of $0.3 million expires in the years 2037 through indefinite. The foreign tax loss carryforward of $14.2 million expires in the years 2030 through indefinite.</w:t>
      </w:r>
    </w:p>
    <w:p>
      <w:pPr>
        <w:spacing w:after="0" w:line="7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E1E1E"/>
        </w:rPr>
        <w:t>Management has assessed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December 31, 2023.</w:t>
      </w:r>
    </w:p>
    <w:p>
      <w:pPr>
        <w:spacing w:after="0" w:line="80"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1E1E1E"/>
        </w:rPr>
        <w:t>The Company is subject to taxation in the United States and various states and foreign jurisdictions. The Company remains subject to U.S. federal income tax examination for 2020 and subsequent years. For the majority of U.S. states, with few exceptions and generally for the foreign tax jurisdictions, the Company remains subject to examination for 2019 and subsequent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Uncertain Tax Positions</w:t>
      </w:r>
    </w:p>
    <w:p>
      <w:pPr>
        <w:spacing w:after="0" w:line="12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1E1E1E"/>
        </w:rPr>
        <w:t>The Company recognizes the financial statement effects of tax positions when it is more-likely-than-not the position will be sustained upon examination. As of December 31, 2023 and 2022, the Company has not identified any uncertain tax positions and has not recognized any related reserves. Accordingly, the Company has not recorded any interest or penalties associated with uncertain tax positions.</w:t>
      </w:r>
    </w:p>
    <w:p>
      <w:pPr>
        <w:sectPr>
          <w:pgSz w:w="11880" w:h="15480" w:orient="portrait"/>
          <w:cols w:equalWidth="0" w:num="1">
            <w:col w:w="10160"/>
          </w:cols>
          <w:pgMar w:left="820" w:top="803" w:right="90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1E1E1E"/>
        </w:rPr>
        <w:t>F-51</w:t>
      </w:r>
    </w:p>
    <w:p>
      <w:pPr>
        <w:sectPr>
          <w:pgSz w:w="11880" w:h="15480" w:orient="portrait"/>
          <w:cols w:equalWidth="0" w:num="1">
            <w:col w:w="10160"/>
          </w:cols>
          <w:pgMar w:left="820" w:top="803" w:right="900" w:bottom="8"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1E1E1E"/>
        </w:rPr>
        <w:t>Tax Receivable Agreement (“TRA”)</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E1E1E"/>
        </w:rPr>
        <w:t>Pursuant to Definitive OpCo's election under Section 754 of the Internal Revenue Code (the “Code”), Definitive Healthcare Corp. expects to obtain an increase in its share of the tax basis in the net assets of Definitive OpCo when LLC Interests are redeemed or exchanged by other members. The Company is required to adjust the basis of partnership assets under Section 743(b) of the Code for each taxable year in which a redemption or exchange of LLC Interest occurs. These increases in tax basis may reduce the amounts that would otherwise be paid by the Company in the future to various tax authorities. They may also decrease gains (or increase losses) on future dispositions of certain capital assets to the extent tax basis is allocated to those capital assets.</w:t>
      </w:r>
    </w:p>
    <w:p>
      <w:pPr>
        <w:spacing w:after="0" w:line="8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E1E1E"/>
        </w:rPr>
        <w:t>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attributes acquired by Definitive Healthcare Corp. from the Blocker Companies in the Reorganization Transactions, (ii) certain tax basis adjustments resulting from (a) acquisitions by Definitive Healthcare Corp. of LLC Units from pre-IPO holders in connection with the IPO and (b) subsequent redemptions or exchanges of LLC Units by holders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86"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1E1E1E"/>
        </w:rPr>
        <w:t>Amounts payable under the TRA are contingent upon, among other things, (i) generation of future taxable income over the term of the TRA and (ii) future changes in tax laws. If the Company does not generate sufficient taxable income in the aggregate over the term of the TRA to utilize the tax benefits, then the Company would not be required to make the related TRA Payments. Therefore, the Company only recognizes a liability for TRA Payments if it determines that it is probable that the Company will generate sufficient future taxable income over the term of the TRA to utilize the related tax benefits. Estimating future taxable income is inherently uncertain and requires judgment. The realizability of the deferred tax assets is evaluated based on all positive and negative evidence, including future reversals of existing taxable temporary differences, projected future taxable income, tax planning strategies and recent results of operations. Based on current projections, the Company anticipates having sufficient taxable income to partially realize some of these benefits and has recorded a TRA liability of $147.1 million as of December 31, 2023. The TRA liability decreased by $8.0 million during the year ended December 31 2023, increasing $15.7 million with an offsetting adjustment to accumulated paid-in capital for current year LLC unit exchanges while concurrently decreasing by $23.5 million for remeasurement of the liability based on future realizability of tax attributes with an offsetting adjustment to statement of operations and $0.2 million of payments to TRA Parties. To the extent that the Company determines that it is able to realize the tax benefits associated with the basis adjustments and net operating losses, the Company would record an additional liability of $148.6 million, for a total liability of $ 295.7 million. Should the Company anticipate a reduction in future taxable income, it would record a reduction in the TRA liability that would result in a benefit recorded within the consolidated statements of operations.</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F-52</w:t>
      </w:r>
    </w:p>
    <w:p>
      <w:pPr>
        <w:sectPr>
          <w:pgSz w:w="11880" w:h="15480" w:orient="portrait"/>
          <w:cols w:equalWidth="0" w:num="1">
            <w:col w:w="10220"/>
          </w:cols>
          <w:pgMar w:left="820" w:top="803" w:right="840" w:bottom="8" w:gutter="0" w:footer="0" w:header="0"/>
          <w:type w:val="continuous"/>
        </w:sectPr>
      </w:pPr>
    </w:p>
    <w:bookmarkStart w:id="136" w:name="page137"/>
    <w:bookmarkEnd w:id="136"/>
    <w:p>
      <w:pPr>
        <w:ind w:left="500" w:hanging="492"/>
        <w:spacing w:after="0"/>
        <w:tabs>
          <w:tab w:leader="none" w:pos="500" w:val="left"/>
        </w:tabs>
        <w:numPr>
          <w:ilvl w:val="0"/>
          <w:numId w:val="5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Loss Per Share</w:t>
      </w:r>
    </w:p>
    <w:p>
      <w:pPr>
        <w:spacing w:after="0" w:line="123"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E1E1E"/>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77"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1E1E1E"/>
        </w:rPr>
        <w:t>The following table sets forth reconciliation of the numerators and denominators used to compute basic and diluted net loss per share of Class A Common Stock for the years ended December 31, 2023, 2022, and 2021. The reconciliation for 2021 reflects only the period from September 15, 2021 to December 31, 2021, which represents the period wherein the Company had outstanding Class A Common Stock.</w:t>
      </w:r>
    </w:p>
    <w:p>
      <w:pPr>
        <w:spacing w:after="0" w:line="182"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280" w:type="dxa"/>
            <w:vAlign w:val="bottom"/>
            <w:tcBorders>
              <w:bottom w:val="single" w:sz="8" w:color="1E1E1E"/>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c>
          <w:tcPr>
            <w:tcW w:w="10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6"/>
                <w:szCs w:val="16"/>
                <w:b w:val="1"/>
                <w:bCs w:val="1"/>
                <w:color w:val="1E1E1E"/>
                <w:w w:val="98"/>
              </w:rPr>
              <w:t>December 31,</w:t>
            </w:r>
          </w:p>
        </w:tc>
        <w:tc>
          <w:tcPr>
            <w:tcW w:w="100" w:type="dxa"/>
            <w:vAlign w:val="bottom"/>
          </w:tcPr>
          <w:p>
            <w:pPr>
              <w:spacing w:after="0"/>
              <w:rPr>
                <w:sz w:val="13"/>
                <w:szCs w:val="13"/>
                <w:color w:val="auto"/>
              </w:rPr>
            </w:pPr>
          </w:p>
        </w:tc>
        <w:tc>
          <w:tcPr>
            <w:tcW w:w="12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3"/>
                <w:szCs w:val="13"/>
                <w:color w:val="auto"/>
              </w:rPr>
            </w:pPr>
          </w:p>
        </w:tc>
        <w:tc>
          <w:tcPr>
            <w:tcW w:w="104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3"/>
                <w:szCs w:val="13"/>
                <w:color w:val="auto"/>
              </w:rPr>
            </w:pPr>
          </w:p>
        </w:tc>
      </w:tr>
      <w:tr>
        <w:trPr>
          <w:trHeight w:val="204"/>
        </w:trPr>
        <w:tc>
          <w:tcPr>
            <w:tcW w:w="55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40" w:type="dxa"/>
            <w:vAlign w:val="bottom"/>
            <w:tcBorders>
              <w:bottom w:val="single" w:sz="8" w:color="E4E4E4"/>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2022</w:t>
            </w:r>
          </w:p>
        </w:tc>
        <w:tc>
          <w:tcPr>
            <w:tcW w:w="240" w:type="dxa"/>
            <w:vAlign w:val="bottom"/>
            <w:tcBorders>
              <w:bottom w:val="single" w:sz="8" w:color="E4E4E4"/>
            </w:tcBorders>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ind w:left="320"/>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7"/>
                <w:szCs w:val="17"/>
                <w:color w:val="auto"/>
              </w:rPr>
            </w:pPr>
          </w:p>
        </w:tc>
      </w:tr>
      <w:tr>
        <w:trPr>
          <w:trHeight w:val="220"/>
        </w:trPr>
        <w:tc>
          <w:tcPr>
            <w:tcW w:w="55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Numerator:</w:t>
            </w:r>
          </w:p>
        </w:tc>
        <w:tc>
          <w:tcPr>
            <w:tcW w:w="1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1E1E1E"/>
              </w:rPr>
              <w:t>Net loss</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(289,627)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(24,179)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20"/>
                <w:szCs w:val="20"/>
                <w:color w:val="1E1E1E"/>
                <w:w w:val="87"/>
              </w:rPr>
              <w:t>(62,324)</w:t>
            </w:r>
          </w:p>
        </w:tc>
        <w:tc>
          <w:tcPr>
            <w:tcW w:w="100" w:type="dxa"/>
            <w:vAlign w:val="bottom"/>
          </w:tcPr>
          <w:p>
            <w:pPr>
              <w:spacing w:after="0"/>
              <w:rPr>
                <w:sz w:val="19"/>
                <w:szCs w:val="19"/>
                <w:color w:val="auto"/>
              </w:rPr>
            </w:pPr>
          </w:p>
        </w:tc>
      </w:tr>
      <w:tr>
        <w:trPr>
          <w:trHeight w:val="209"/>
        </w:trPr>
        <w:tc>
          <w:tcPr>
            <w:tcW w:w="5580" w:type="dxa"/>
            <w:vAlign w:val="bottom"/>
            <w:shd w:val="clear" w:color="auto" w:fill="E4E4E4"/>
          </w:tcPr>
          <w:p>
            <w:pPr>
              <w:spacing w:after="0" w:line="208" w:lineRule="exact"/>
              <w:rPr>
                <w:sz w:val="20"/>
                <w:szCs w:val="20"/>
                <w:color w:val="auto"/>
              </w:rPr>
            </w:pPr>
            <w:r>
              <w:rPr>
                <w:rFonts w:ascii="Times New Roman" w:cs="Times New Roman" w:eastAsia="Times New Roman" w:hAnsi="Times New Roman"/>
                <w:sz w:val="20"/>
                <w:szCs w:val="20"/>
                <w:color w:val="1E1E1E"/>
              </w:rPr>
              <w:t>Less: Net loss attributable to Definitive OpCo before Reorganization</w:t>
            </w:r>
          </w:p>
        </w:tc>
        <w:tc>
          <w:tcPr>
            <w:tcW w:w="1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r>
      <w:tr>
        <w:trPr>
          <w:trHeight w:val="251"/>
        </w:trPr>
        <w:tc>
          <w:tcPr>
            <w:tcW w:w="55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Transactions</w:t>
            </w:r>
          </w:p>
        </w:tc>
        <w:tc>
          <w:tcPr>
            <w:tcW w:w="14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28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21"/>
                <w:szCs w:val="21"/>
                <w:color w:val="auto"/>
              </w:rPr>
            </w:pPr>
          </w:p>
        </w:tc>
        <w:tc>
          <w:tcPr>
            <w:tcW w:w="128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4E4E4"/>
          </w:tcPr>
          <w:p>
            <w:pPr>
              <w:spacing w:after="0"/>
              <w:rPr>
                <w:sz w:val="21"/>
                <w:szCs w:val="21"/>
                <w:color w:val="auto"/>
              </w:rPr>
            </w:pPr>
          </w:p>
        </w:tc>
        <w:tc>
          <w:tcPr>
            <w:tcW w:w="1140" w:type="dxa"/>
            <w:vAlign w:val="bottom"/>
            <w:gridSpan w:val="2"/>
            <w:shd w:val="clear" w:color="auto" w:fill="E4E4E4"/>
          </w:tcPr>
          <w:p>
            <w:pPr>
              <w:ind w:left="420"/>
              <w:spacing w:after="0"/>
              <w:rPr>
                <w:sz w:val="20"/>
                <w:szCs w:val="20"/>
                <w:color w:val="auto"/>
              </w:rPr>
            </w:pPr>
            <w:r>
              <w:rPr>
                <w:rFonts w:ascii="Times New Roman" w:cs="Times New Roman" w:eastAsia="Times New Roman" w:hAnsi="Times New Roman"/>
                <w:sz w:val="20"/>
                <w:szCs w:val="20"/>
                <w:color w:val="1E1E1E"/>
              </w:rPr>
              <w:t>(34,068)</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1E1E1E"/>
              </w:rPr>
              <w:t>Less: Net loss attributable to noncontrolling interests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1E1E1E"/>
              </w:rPr>
              <w:t>(87,239)</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E1E1E"/>
              </w:rPr>
              <w:t>(16,957)</w:t>
            </w:r>
          </w:p>
        </w:tc>
        <w:tc>
          <w:tcPr>
            <w:tcW w:w="100" w:type="dxa"/>
            <w:vAlign w:val="bottom"/>
          </w:tcPr>
          <w:p>
            <w:pPr>
              <w:spacing w:after="0"/>
              <w:rPr>
                <w:sz w:val="19"/>
                <w:szCs w:val="19"/>
                <w:color w:val="auto"/>
              </w:rPr>
            </w:pPr>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1E1E1E"/>
              </w:rPr>
              <w:t>(10,416)</w:t>
            </w:r>
          </w:p>
        </w:tc>
      </w:tr>
      <w:tr>
        <w:trPr>
          <w:trHeight w:val="220"/>
        </w:trPr>
        <w:tc>
          <w:tcPr>
            <w:tcW w:w="55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Net loss attributable to Definitive Healthcare Corp.</w:t>
            </w:r>
          </w:p>
        </w:tc>
        <w:tc>
          <w:tcPr>
            <w:tcW w:w="1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(202,388</w:t>
            </w:r>
          </w:p>
        </w:tc>
        <w:tc>
          <w:tcPr>
            <w:tcW w:w="240" w:type="dxa"/>
            <w:vAlign w:val="bottom"/>
            <w:tcBorders>
              <w:top w:val="single" w:sz="8" w:color="E4E4E4"/>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89"/>
              </w:rPr>
              <w:t>)</w:t>
            </w:r>
          </w:p>
        </w:tc>
        <w:tc>
          <w:tcPr>
            <w:tcW w:w="1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(7,222)</w:t>
            </w:r>
          </w:p>
        </w:tc>
        <w:tc>
          <w:tcPr>
            <w:tcW w:w="2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1E1E1E"/>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E4E4E4"/>
          </w:tcPr>
          <w:p>
            <w:pPr>
              <w:ind w:left="420"/>
              <w:spacing w:after="0" w:line="220" w:lineRule="exact"/>
              <w:rPr>
                <w:sz w:val="20"/>
                <w:szCs w:val="20"/>
                <w:color w:val="auto"/>
              </w:rPr>
            </w:pPr>
            <w:r>
              <w:rPr>
                <w:rFonts w:ascii="Times New Roman" w:cs="Times New Roman" w:eastAsia="Times New Roman" w:hAnsi="Times New Roman"/>
                <w:sz w:val="20"/>
                <w:szCs w:val="20"/>
                <w:color w:val="1E1E1E"/>
                <w:w w:val="87"/>
              </w:rPr>
              <w:t>(17,840)</w:t>
            </w:r>
          </w:p>
        </w:tc>
        <w:tc>
          <w:tcPr>
            <w:tcW w:w="100" w:type="dxa"/>
            <w:vAlign w:val="bottom"/>
            <w:tcBorders>
              <w:top w:val="single" w:sz="8" w:color="E4E4E4"/>
            </w:tcBorders>
            <w:shd w:val="clear" w:color="auto" w:fill="E4E4E4"/>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The following table sets forth the computation of basic and diluted net loss per share of Class A Common Stock:</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5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160" w:type="dxa"/>
            <w:vAlign w:val="bottom"/>
            <w:tcBorders>
              <w:bottom w:val="single" w:sz="8" w:color="1E1E1E"/>
            </w:tcBorders>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140" w:type="dxa"/>
            <w:vAlign w:val="bottom"/>
            <w:tcBorders>
              <w:bottom w:val="single" w:sz="8" w:color="1E1E1E"/>
            </w:tcBorders>
          </w:tcPr>
          <w:p>
            <w:pPr>
              <w:spacing w:after="0"/>
              <w:rPr>
                <w:sz w:val="17"/>
                <w:szCs w:val="17"/>
                <w:color w:val="auto"/>
              </w:rPr>
            </w:pPr>
          </w:p>
        </w:tc>
        <w:tc>
          <w:tcPr>
            <w:tcW w:w="1400" w:type="dxa"/>
            <w:vAlign w:val="bottom"/>
            <w:tcBorders>
              <w:bottom w:val="single" w:sz="8" w:color="1E1E1E"/>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c>
          <w:tcPr>
            <w:tcW w:w="140" w:type="dxa"/>
            <w:vAlign w:val="bottom"/>
            <w:tcBorders>
              <w:bottom w:val="single" w:sz="8" w:color="1E1E1E"/>
            </w:tcBorders>
          </w:tcPr>
          <w:p>
            <w:pPr>
              <w:spacing w:after="0"/>
              <w:rPr>
                <w:sz w:val="17"/>
                <w:szCs w:val="17"/>
                <w:color w:val="auto"/>
              </w:rPr>
            </w:pPr>
          </w:p>
        </w:tc>
        <w:tc>
          <w:tcPr>
            <w:tcW w:w="114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6"/>
                <w:szCs w:val="16"/>
                <w:b w:val="1"/>
                <w:bCs w:val="1"/>
                <w:color w:val="1E1E1E"/>
              </w:rPr>
              <w:t>December 31,</w:t>
            </w:r>
          </w:p>
        </w:tc>
        <w:tc>
          <w:tcPr>
            <w:tcW w:w="140" w:type="dxa"/>
            <w:vAlign w:val="bottom"/>
          </w:tcPr>
          <w:p>
            <w:pPr>
              <w:spacing w:after="0"/>
              <w:rPr>
                <w:sz w:val="13"/>
                <w:szCs w:val="13"/>
                <w:color w:val="auto"/>
              </w:rPr>
            </w:pPr>
          </w:p>
        </w:tc>
        <w:tc>
          <w:tcPr>
            <w:tcW w:w="14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6"/>
                <w:szCs w:val="16"/>
                <w:b w:val="1"/>
                <w:bCs w:val="1"/>
                <w:color w:val="1E1E1E"/>
              </w:rPr>
              <w:t>December 31,</w:t>
            </w:r>
          </w:p>
        </w:tc>
        <w:tc>
          <w:tcPr>
            <w:tcW w:w="140" w:type="dxa"/>
            <w:vAlign w:val="bottom"/>
          </w:tcPr>
          <w:p>
            <w:pPr>
              <w:spacing w:after="0"/>
              <w:rPr>
                <w:sz w:val="13"/>
                <w:szCs w:val="13"/>
                <w:color w:val="auto"/>
              </w:rPr>
            </w:pPr>
          </w:p>
        </w:tc>
        <w:tc>
          <w:tcPr>
            <w:tcW w:w="11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3"/>
                <w:szCs w:val="13"/>
                <w:color w:val="auto"/>
              </w:rPr>
            </w:pPr>
          </w:p>
        </w:tc>
      </w:tr>
      <w:tr>
        <w:trPr>
          <w:trHeight w:val="194"/>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 except number of shares and per share amounts)</w:t>
            </w:r>
          </w:p>
        </w:tc>
        <w:tc>
          <w:tcPr>
            <w:tcW w:w="24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160" w:type="dxa"/>
            <w:vAlign w:val="bottom"/>
            <w:tcBorders>
              <w:bottom w:val="single" w:sz="8" w:color="1E1E1E"/>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140" w:type="dxa"/>
            <w:vAlign w:val="bottom"/>
            <w:tcBorders>
              <w:bottom w:val="single" w:sz="8" w:color="1E1E1E"/>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1E1E1E"/>
                <w:w w:val="99"/>
              </w:rPr>
              <w:t>2022</w:t>
            </w:r>
          </w:p>
        </w:tc>
        <w:tc>
          <w:tcPr>
            <w:tcW w:w="26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140" w:type="dxa"/>
            <w:vAlign w:val="bottom"/>
            <w:tcBorders>
              <w:bottom w:val="single" w:sz="8" w:color="1E1E1E"/>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Pr>
          <w:p>
            <w:pPr>
              <w:spacing w:after="0"/>
              <w:rPr>
                <w:sz w:val="16"/>
                <w:szCs w:val="16"/>
                <w:color w:val="auto"/>
              </w:rPr>
            </w:pPr>
          </w:p>
        </w:tc>
      </w:tr>
      <w:tr>
        <w:trPr>
          <w:trHeight w:val="206"/>
        </w:trPr>
        <w:tc>
          <w:tcPr>
            <w:tcW w:w="5020" w:type="dxa"/>
            <w:vAlign w:val="bottom"/>
          </w:tcPr>
          <w:p>
            <w:pPr>
              <w:spacing w:after="0" w:line="206" w:lineRule="exact"/>
              <w:rPr>
                <w:sz w:val="20"/>
                <w:szCs w:val="20"/>
                <w:color w:val="auto"/>
              </w:rPr>
            </w:pPr>
            <w:r>
              <w:rPr>
                <w:rFonts w:ascii="Times New Roman" w:cs="Times New Roman" w:eastAsia="Times New Roman" w:hAnsi="Times New Roman"/>
                <w:sz w:val="20"/>
                <w:szCs w:val="20"/>
                <w:b w:val="1"/>
                <w:bCs w:val="1"/>
                <w:color w:val="1E1E1E"/>
              </w:rPr>
              <w:t>Basic net loss per share attributable to common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4"/>
        </w:trPr>
        <w:tc>
          <w:tcPr>
            <w:tcW w:w="502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stockholders</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50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1E1E1E"/>
              </w:rPr>
              <w:t>Numerator:</w:t>
            </w:r>
          </w:p>
        </w:tc>
        <w:tc>
          <w:tcPr>
            <w:tcW w:w="2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09"/>
        </w:trPr>
        <w:tc>
          <w:tcPr>
            <w:tcW w:w="5020" w:type="dxa"/>
            <w:vAlign w:val="bottom"/>
          </w:tcPr>
          <w:p>
            <w:pPr>
              <w:spacing w:after="0" w:line="208" w:lineRule="exact"/>
              <w:rPr>
                <w:sz w:val="20"/>
                <w:szCs w:val="20"/>
                <w:color w:val="auto"/>
              </w:rPr>
            </w:pPr>
            <w:r>
              <w:rPr>
                <w:rFonts w:ascii="Times New Roman" w:cs="Times New Roman" w:eastAsia="Times New Roman" w:hAnsi="Times New Roman"/>
                <w:sz w:val="20"/>
                <w:szCs w:val="20"/>
                <w:color w:val="1E1E1E"/>
              </w:rPr>
              <w:t>Allocation of net loss attributable to Definitive Healthcare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1E1E1E"/>
              </w:rPr>
              <w:t>Corp.</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(202,388)</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E1E1E"/>
              </w:rPr>
              <w:t>(7,222)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E1E1E"/>
              </w:rPr>
              <w:t>(17,840)</w:t>
            </w:r>
          </w:p>
        </w:tc>
      </w:tr>
      <w:tr>
        <w:trPr>
          <w:trHeight w:val="230"/>
        </w:trPr>
        <w:tc>
          <w:tcPr>
            <w:tcW w:w="50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1E1E1E"/>
              </w:rPr>
              <w:t>Weighted average number of shares of Class A outstanding</w:t>
            </w:r>
          </w:p>
        </w:tc>
        <w:tc>
          <w:tcPr>
            <w:tcW w:w="2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240"/>
              <w:spacing w:after="0"/>
              <w:rPr>
                <w:sz w:val="20"/>
                <w:szCs w:val="20"/>
                <w:color w:val="auto"/>
              </w:rPr>
            </w:pPr>
            <w:r>
              <w:rPr>
                <w:rFonts w:ascii="Times New Roman" w:cs="Times New Roman" w:eastAsia="Times New Roman" w:hAnsi="Times New Roman"/>
                <w:sz w:val="20"/>
                <w:szCs w:val="20"/>
                <w:color w:val="1E1E1E"/>
              </w:rPr>
              <w:t>112,764,537</w:t>
            </w:r>
          </w:p>
        </w:tc>
        <w:tc>
          <w:tcPr>
            <w:tcW w:w="14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20"/>
                <w:szCs w:val="20"/>
                <w:color w:val="1E1E1E"/>
              </w:rPr>
              <w:t>101,114,105</w:t>
            </w:r>
          </w:p>
        </w:tc>
        <w:tc>
          <w:tcPr>
            <w:tcW w:w="140" w:type="dxa"/>
            <w:vAlign w:val="bottom"/>
            <w:shd w:val="clear" w:color="auto" w:fill="E4E4E4"/>
          </w:tcPr>
          <w:p>
            <w:pPr>
              <w:spacing w:after="0"/>
              <w:rPr>
                <w:sz w:val="19"/>
                <w:szCs w:val="19"/>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1E1E1E"/>
              </w:rPr>
              <w:t>91,916,151</w:t>
            </w:r>
          </w:p>
        </w:tc>
        <w:tc>
          <w:tcPr>
            <w:tcW w:w="100" w:type="dxa"/>
            <w:vAlign w:val="bottom"/>
            <w:shd w:val="clear" w:color="auto" w:fill="E4E4E4"/>
          </w:tcPr>
          <w:p>
            <w:pPr>
              <w:spacing w:after="0"/>
              <w:rPr>
                <w:sz w:val="19"/>
                <w:szCs w:val="19"/>
                <w:color w:val="auto"/>
              </w:rPr>
            </w:pPr>
          </w:p>
        </w:tc>
      </w:tr>
      <w:tr>
        <w:trPr>
          <w:trHeight w:val="220"/>
        </w:trPr>
        <w:tc>
          <w:tcPr>
            <w:tcW w:w="5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E1E1E"/>
              </w:rPr>
              <w:t>Net loss per share, basic and diluted</w:t>
            </w:r>
          </w:p>
        </w:tc>
        <w:tc>
          <w:tcPr>
            <w:tcW w:w="240" w:type="dxa"/>
            <w:vAlign w:val="bottom"/>
          </w:tcPr>
          <w:p>
            <w:pPr>
              <w:spacing w:after="0"/>
              <w:rPr>
                <w:sz w:val="19"/>
                <w:szCs w:val="19"/>
                <w:color w:val="auto"/>
              </w:rPr>
            </w:pPr>
          </w:p>
        </w:tc>
        <w:tc>
          <w:tcPr>
            <w:tcW w:w="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(1.79)</w:t>
            </w:r>
          </w:p>
        </w:tc>
        <w:tc>
          <w:tcPr>
            <w:tcW w:w="240" w:type="dxa"/>
            <w:vAlign w:val="bottom"/>
          </w:tcPr>
          <w:p>
            <w:pPr>
              <w:spacing w:after="0"/>
              <w:rPr>
                <w:sz w:val="19"/>
                <w:szCs w:val="19"/>
                <w:color w:val="auto"/>
              </w:rPr>
            </w:pPr>
          </w:p>
        </w:tc>
        <w:tc>
          <w:tcPr>
            <w:tcW w:w="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(0.07)</w:t>
            </w:r>
          </w:p>
        </w:tc>
        <w:tc>
          <w:tcPr>
            <w:tcW w:w="260" w:type="dxa"/>
            <w:vAlign w:val="bottom"/>
          </w:tcPr>
          <w:p>
            <w:pPr>
              <w:spacing w:after="0"/>
              <w:rPr>
                <w:sz w:val="19"/>
                <w:szCs w:val="19"/>
                <w:color w:val="auto"/>
              </w:rPr>
            </w:pPr>
          </w:p>
        </w:tc>
        <w:tc>
          <w:tcPr>
            <w:tcW w:w="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top w:val="single" w:sz="8" w:color="1E1E1E"/>
              <w:bottom w:val="single" w:sz="8" w:color="1E1E1E"/>
            </w:tcBorders>
          </w:tcPr>
          <w:p>
            <w:pPr>
              <w:jc w:val="right"/>
              <w:spacing w:after="0" w:line="220" w:lineRule="exact"/>
              <w:rPr>
                <w:sz w:val="20"/>
                <w:szCs w:val="20"/>
                <w:color w:val="auto"/>
              </w:rPr>
            </w:pPr>
            <w:r>
              <w:rPr>
                <w:rFonts w:ascii="Times New Roman" w:cs="Times New Roman" w:eastAsia="Times New Roman" w:hAnsi="Times New Roman"/>
                <w:sz w:val="20"/>
                <w:szCs w:val="20"/>
                <w:color w:val="1E1E1E"/>
              </w:rPr>
              <w:t>(0.19)</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ind w:right="320" w:firstLine="490"/>
        <w:spacing w:after="0" w:line="259" w:lineRule="auto"/>
        <w:rPr>
          <w:sz w:val="20"/>
          <w:szCs w:val="20"/>
          <w:color w:val="auto"/>
        </w:rPr>
      </w:pPr>
      <w:r>
        <w:rPr>
          <w:rFonts w:ascii="Times New Roman" w:cs="Times New Roman" w:eastAsia="Times New Roman" w:hAnsi="Times New Roman"/>
          <w:sz w:val="20"/>
          <w:szCs w:val="20"/>
          <w:color w:val="1E1E1E"/>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65" w:lineRule="exact"/>
        <w:rPr>
          <w:sz w:val="20"/>
          <w:szCs w:val="20"/>
          <w:color w:val="auto"/>
        </w:rPr>
      </w:pPr>
    </w:p>
    <w:p>
      <w:pPr>
        <w:ind w:right="60" w:firstLine="490"/>
        <w:spacing w:after="0" w:line="279" w:lineRule="auto"/>
        <w:rPr>
          <w:sz w:val="20"/>
          <w:szCs w:val="20"/>
          <w:color w:val="auto"/>
        </w:rPr>
      </w:pPr>
      <w:r>
        <w:rPr>
          <w:rFonts w:ascii="Times New Roman" w:cs="Times New Roman" w:eastAsia="Times New Roman" w:hAnsi="Times New Roman"/>
          <w:sz w:val="20"/>
          <w:szCs w:val="20"/>
          <w:color w:val="1E1E1E"/>
        </w:rPr>
        <w:t>The following table presents potentially dilutive securities which were excluded from the computation of diluted net loss per share for the periods presented because their effects on net loss per share would have been anti-dilutive:</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1E1E1E"/>
            </w:tcBorders>
          </w:tcPr>
          <w:p>
            <w:pPr>
              <w:spacing w:after="0"/>
              <w:rPr>
                <w:sz w:val="17"/>
                <w:szCs w:val="17"/>
                <w:color w:val="auto"/>
              </w:rPr>
            </w:pPr>
          </w:p>
        </w:tc>
        <w:tc>
          <w:tcPr>
            <w:tcW w:w="200" w:type="dxa"/>
            <w:vAlign w:val="bottom"/>
            <w:tcBorders>
              <w:bottom w:val="single" w:sz="8" w:color="1E1E1E"/>
            </w:tcBorders>
          </w:tcPr>
          <w:p>
            <w:pPr>
              <w:spacing w:after="0"/>
              <w:rPr>
                <w:sz w:val="17"/>
                <w:szCs w:val="17"/>
                <w:color w:val="auto"/>
              </w:rPr>
            </w:pPr>
          </w:p>
        </w:tc>
        <w:tc>
          <w:tcPr>
            <w:tcW w:w="1520" w:type="dxa"/>
            <w:vAlign w:val="bottom"/>
            <w:tcBorders>
              <w:bottom w:val="single" w:sz="8" w:color="1E1E1E"/>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rPr>
              <w:t>Year Ended</w:t>
            </w:r>
          </w:p>
        </w:tc>
        <w:tc>
          <w:tcPr>
            <w:tcW w:w="134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8"/>
              </w:rPr>
              <w:t>December 31, 2022</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1E1E1E"/>
              </w:rPr>
              <w:t>December 31, 2021</w:t>
            </w:r>
          </w:p>
        </w:tc>
      </w:tr>
      <w:tr>
        <w:trPr>
          <w:trHeight w:val="220"/>
        </w:trPr>
        <w:tc>
          <w:tcPr>
            <w:tcW w:w="512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Definitive OpCo units (vested and unvested)</w:t>
            </w:r>
          </w:p>
        </w:tc>
        <w:tc>
          <w:tcPr>
            <w:tcW w:w="100" w:type="dxa"/>
            <w:vAlign w:val="bottom"/>
            <w:tcBorders>
              <w:top w:val="single" w:sz="8" w:color="E4E4E4"/>
            </w:tcBorders>
            <w:shd w:val="clear" w:color="auto" w:fill="E4E4E4"/>
          </w:tcPr>
          <w:p>
            <w:pPr>
              <w:spacing w:after="0"/>
              <w:rPr>
                <w:sz w:val="19"/>
                <w:szCs w:val="19"/>
                <w:color w:val="auto"/>
              </w:rPr>
            </w:pPr>
          </w:p>
        </w:tc>
        <w:tc>
          <w:tcPr>
            <w:tcW w:w="13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39,762,700</w:t>
            </w:r>
          </w:p>
        </w:tc>
        <w:tc>
          <w:tcPr>
            <w:tcW w:w="200" w:type="dxa"/>
            <w:vAlign w:val="bottom"/>
            <w:tcBorders>
              <w:top w:val="single" w:sz="8" w:color="E4E4E4"/>
            </w:tcBorders>
            <w:shd w:val="clear" w:color="auto" w:fill="E4E4E4"/>
          </w:tcPr>
          <w:p>
            <w:pPr>
              <w:spacing w:after="0"/>
              <w:rPr>
                <w:sz w:val="19"/>
                <w:szCs w:val="19"/>
                <w:color w:val="auto"/>
              </w:rPr>
            </w:pPr>
          </w:p>
        </w:tc>
        <w:tc>
          <w:tcPr>
            <w:tcW w:w="132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50,433,101</w:t>
            </w:r>
          </w:p>
        </w:tc>
        <w:tc>
          <w:tcPr>
            <w:tcW w:w="200" w:type="dxa"/>
            <w:vAlign w:val="bottom"/>
            <w:tcBorders>
              <w:top w:val="single" w:sz="8" w:color="E4E4E4"/>
            </w:tcBorders>
            <w:shd w:val="clear" w:color="auto" w:fill="E4E4E4"/>
          </w:tcPr>
          <w:p>
            <w:pPr>
              <w:spacing w:after="0"/>
              <w:rPr>
                <w:sz w:val="19"/>
                <w:szCs w:val="19"/>
                <w:color w:val="auto"/>
              </w:rPr>
            </w:pPr>
          </w:p>
        </w:tc>
        <w:tc>
          <w:tcPr>
            <w:tcW w:w="1340" w:type="dxa"/>
            <w:vAlign w:val="bottom"/>
            <w:tcBorders>
              <w:top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58,244,627</w:t>
            </w:r>
          </w:p>
        </w:tc>
        <w:tc>
          <w:tcPr>
            <w:tcW w:w="100" w:type="dxa"/>
            <w:vAlign w:val="bottom"/>
            <w:tcBorders>
              <w:top w:val="single" w:sz="8" w:color="E4E4E4"/>
            </w:tcBorders>
            <w:shd w:val="clear" w:color="auto" w:fill="E4E4E4"/>
          </w:tcPr>
          <w:p>
            <w:pPr>
              <w:spacing w:after="0"/>
              <w:rPr>
                <w:sz w:val="19"/>
                <w:szCs w:val="19"/>
                <w:color w:val="auto"/>
              </w:rPr>
            </w:pPr>
          </w:p>
        </w:tc>
      </w:tr>
      <w:tr>
        <w:trPr>
          <w:trHeight w:val="268"/>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1E1E1E"/>
              </w:rPr>
              <w:t>Restricted stock units</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6,828,490</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3,563,387</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2,100,250</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F-53</w:t>
      </w:r>
    </w:p>
    <w:p>
      <w:pPr>
        <w:sectPr>
          <w:pgSz w:w="11880" w:h="15480" w:orient="portrait"/>
          <w:cols w:equalWidth="0" w:num="1">
            <w:col w:w="10220"/>
          </w:cols>
          <w:pgMar w:left="820" w:top="803" w:right="840" w:bottom="8" w:gutter="0" w:footer="0" w:header="0"/>
          <w:type w:val="continuous"/>
        </w:sectPr>
      </w:pPr>
    </w:p>
    <w:bookmarkStart w:id="137" w:name="page138"/>
    <w:bookmarkEnd w:id="137"/>
    <w:p>
      <w:pPr>
        <w:ind w:left="500" w:hanging="492"/>
        <w:spacing w:after="0"/>
        <w:tabs>
          <w:tab w:leader="none" w:pos="500" w:val="left"/>
        </w:tabs>
        <w:numPr>
          <w:ilvl w:val="0"/>
          <w:numId w:val="5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Segment and Geographic Data</w:t>
      </w:r>
    </w:p>
    <w:p>
      <w:pPr>
        <w:spacing w:after="0" w:line="12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E1E1E"/>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Revenues by geographic area presented based upon the location of the customer are as follows: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20" w:type="dxa"/>
            <w:vAlign w:val="bottom"/>
          </w:tcPr>
          <w:p>
            <w:pPr>
              <w:spacing w:after="0"/>
              <w:rPr>
                <w:sz w:val="17"/>
                <w:szCs w:val="17"/>
                <w:color w:val="auto"/>
              </w:rPr>
            </w:pPr>
          </w:p>
        </w:tc>
        <w:tc>
          <w:tcPr>
            <w:tcW w:w="280" w:type="dxa"/>
            <w:vAlign w:val="bottom"/>
            <w:tcBorders>
              <w:bottom w:val="single" w:sz="8" w:color="1E1E1E"/>
            </w:tcBorders>
          </w:tcPr>
          <w:p>
            <w:pPr>
              <w:spacing w:after="0"/>
              <w:rPr>
                <w:sz w:val="17"/>
                <w:szCs w:val="17"/>
                <w:color w:val="auto"/>
              </w:rPr>
            </w:pPr>
          </w:p>
        </w:tc>
        <w:tc>
          <w:tcPr>
            <w:tcW w:w="3040" w:type="dxa"/>
            <w:vAlign w:val="bottom"/>
            <w:tcBorders>
              <w:bottom w:val="single" w:sz="8" w:color="1E1E1E"/>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1E1E1E"/>
              </w:rPr>
              <w:t>For the Year Ended December 31,</w:t>
            </w:r>
          </w:p>
        </w:tc>
        <w:tc>
          <w:tcPr>
            <w:tcW w:w="84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940" w:type="dxa"/>
            <w:vAlign w:val="bottom"/>
            <w:tcBorders>
              <w:bottom w:val="single" w:sz="8" w:color="E4E4E4"/>
            </w:tcBorders>
            <w:vMerge w:val="continue"/>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280" w:type="dxa"/>
            <w:vAlign w:val="bottom"/>
            <w:tcBorders>
              <w:bottom w:val="single" w:sz="8" w:color="1E1E1E"/>
            </w:tcBorders>
          </w:tcPr>
          <w:p>
            <w:pPr>
              <w:spacing w:after="0"/>
              <w:rPr>
                <w:sz w:val="15"/>
                <w:szCs w:val="15"/>
                <w:color w:val="auto"/>
              </w:rPr>
            </w:pPr>
          </w:p>
        </w:tc>
        <w:tc>
          <w:tcPr>
            <w:tcW w:w="960" w:type="dxa"/>
            <w:vAlign w:val="bottom"/>
            <w:tcBorders>
              <w:bottom w:val="single" w:sz="8" w:color="1E1E1E"/>
            </w:tcBorders>
          </w:tcPr>
          <w:p>
            <w:pPr>
              <w:jc w:val="right"/>
              <w:ind w:right="368"/>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bottom w:val="single" w:sz="8" w:color="E4E4E4"/>
            </w:tcBorders>
          </w:tcPr>
          <w:p>
            <w:pPr>
              <w:spacing w:after="0"/>
              <w:rPr>
                <w:sz w:val="15"/>
                <w:szCs w:val="15"/>
                <w:color w:val="auto"/>
              </w:rPr>
            </w:pPr>
          </w:p>
        </w:tc>
        <w:tc>
          <w:tcPr>
            <w:tcW w:w="280" w:type="dxa"/>
            <w:vAlign w:val="bottom"/>
            <w:tcBorders>
              <w:bottom w:val="single" w:sz="8" w:color="1E1E1E"/>
            </w:tcBorders>
          </w:tcPr>
          <w:p>
            <w:pPr>
              <w:spacing w:after="0"/>
              <w:rPr>
                <w:sz w:val="15"/>
                <w:szCs w:val="15"/>
                <w:color w:val="auto"/>
              </w:rPr>
            </w:pPr>
          </w:p>
        </w:tc>
        <w:tc>
          <w:tcPr>
            <w:tcW w:w="960" w:type="dxa"/>
            <w:vAlign w:val="bottom"/>
            <w:tcBorders>
              <w:bottom w:val="single" w:sz="8" w:color="1E1E1E"/>
            </w:tcBorders>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220" w:type="dxa"/>
            <w:vAlign w:val="bottom"/>
            <w:tcBorders>
              <w:bottom w:val="single" w:sz="8" w:color="E4E4E4"/>
            </w:tcBorders>
          </w:tcPr>
          <w:p>
            <w:pPr>
              <w:spacing w:after="0"/>
              <w:rPr>
                <w:sz w:val="15"/>
                <w:szCs w:val="15"/>
                <w:color w:val="auto"/>
              </w:rPr>
            </w:pPr>
          </w:p>
        </w:tc>
        <w:tc>
          <w:tcPr>
            <w:tcW w:w="400" w:type="dxa"/>
            <w:vAlign w:val="bottom"/>
            <w:tcBorders>
              <w:bottom w:val="single" w:sz="8" w:color="1E1E1E"/>
            </w:tcBorders>
          </w:tcPr>
          <w:p>
            <w:pPr>
              <w:spacing w:after="0"/>
              <w:rPr>
                <w:sz w:val="15"/>
                <w:szCs w:val="15"/>
                <w:color w:val="auto"/>
              </w:rPr>
            </w:pPr>
          </w:p>
        </w:tc>
        <w:tc>
          <w:tcPr>
            <w:tcW w:w="840" w:type="dxa"/>
            <w:vAlign w:val="bottom"/>
            <w:tcBorders>
              <w:bottom w:val="single" w:sz="8" w:color="1E1E1E"/>
            </w:tcBorders>
          </w:tcPr>
          <w:p>
            <w:pPr>
              <w:jc w:val="right"/>
              <w:ind w:right="365"/>
              <w:spacing w:after="0" w:line="174" w:lineRule="exact"/>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United States</w:t>
            </w:r>
          </w:p>
        </w:tc>
        <w:tc>
          <w:tcPr>
            <w:tcW w:w="120" w:type="dxa"/>
            <w:vAlign w:val="bottom"/>
            <w:shd w:val="clear" w:color="auto" w:fill="E4E4E4"/>
          </w:tcPr>
          <w:p>
            <w:pPr>
              <w:spacing w:after="0"/>
              <w:rPr>
                <w:sz w:val="19"/>
                <w:szCs w:val="19"/>
                <w:color w:val="auto"/>
              </w:rPr>
            </w:pPr>
          </w:p>
        </w:tc>
        <w:tc>
          <w:tcPr>
            <w:tcW w:w="280" w:type="dxa"/>
            <w:vAlign w:val="bottom"/>
            <w:shd w:val="clear" w:color="auto" w:fill="E4E4E4"/>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239,457</w:t>
            </w:r>
          </w:p>
        </w:tc>
        <w:tc>
          <w:tcPr>
            <w:tcW w:w="220" w:type="dxa"/>
            <w:vAlign w:val="bottom"/>
            <w:shd w:val="clear" w:color="auto" w:fill="E4E4E4"/>
          </w:tcPr>
          <w:p>
            <w:pPr>
              <w:spacing w:after="0"/>
              <w:rPr>
                <w:sz w:val="19"/>
                <w:szCs w:val="19"/>
                <w:color w:val="auto"/>
              </w:rPr>
            </w:pPr>
          </w:p>
        </w:tc>
        <w:tc>
          <w:tcPr>
            <w:tcW w:w="280" w:type="dxa"/>
            <w:vAlign w:val="bottom"/>
            <w:shd w:val="clear" w:color="auto" w:fill="E4E4E4"/>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211,727</w:t>
            </w:r>
          </w:p>
        </w:tc>
        <w:tc>
          <w:tcPr>
            <w:tcW w:w="220" w:type="dxa"/>
            <w:vAlign w:val="bottom"/>
            <w:shd w:val="clear" w:color="auto" w:fill="E4E4E4"/>
          </w:tcPr>
          <w:p>
            <w:pPr>
              <w:spacing w:after="0"/>
              <w:rPr>
                <w:sz w:val="19"/>
                <w:szCs w:val="19"/>
                <w:color w:val="auto"/>
              </w:rPr>
            </w:pPr>
          </w:p>
        </w:tc>
        <w:tc>
          <w:tcPr>
            <w:tcW w:w="400" w:type="dxa"/>
            <w:vAlign w:val="bottom"/>
            <w:shd w:val="clear" w:color="auto" w:fill="E4E4E4"/>
          </w:tcPr>
          <w:p>
            <w:pPr>
              <w:jc w:val="right"/>
              <w:ind w:right="2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158,727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Rest of world</w:t>
            </w:r>
          </w:p>
        </w:tc>
        <w:tc>
          <w:tcPr>
            <w:tcW w:w="120" w:type="dxa"/>
            <w:vAlign w:val="bottom"/>
            <w:tcBorders>
              <w:bottom w:val="single" w:sz="8" w:color="E4E4E4"/>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11,958</w:t>
            </w:r>
          </w:p>
        </w:tc>
        <w:tc>
          <w:tcPr>
            <w:tcW w:w="220" w:type="dxa"/>
            <w:vAlign w:val="bottom"/>
            <w:tcBorders>
              <w:bottom w:val="single" w:sz="8" w:color="E4E4E4"/>
            </w:tcBorders>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10,926</w:t>
            </w:r>
          </w:p>
        </w:tc>
        <w:tc>
          <w:tcPr>
            <w:tcW w:w="220" w:type="dxa"/>
            <w:vAlign w:val="bottom"/>
            <w:tcBorders>
              <w:bottom w:val="single" w:sz="8" w:color="E4E4E4"/>
            </w:tcBorders>
          </w:tcPr>
          <w:p>
            <w:pPr>
              <w:spacing w:after="0"/>
              <w:rPr>
                <w:sz w:val="19"/>
                <w:szCs w:val="19"/>
                <w:color w:val="auto"/>
              </w:rPr>
            </w:pPr>
          </w:p>
        </w:tc>
        <w:tc>
          <w:tcPr>
            <w:tcW w:w="40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7,427</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revenues</w:t>
            </w:r>
          </w:p>
        </w:tc>
        <w:tc>
          <w:tcPr>
            <w:tcW w:w="120" w:type="dxa"/>
            <w:vAlign w:val="bottom"/>
            <w:shd w:val="clear" w:color="auto" w:fill="E4E4E4"/>
          </w:tcPr>
          <w:p>
            <w:pPr>
              <w:spacing w:after="0"/>
              <w:rPr>
                <w:sz w:val="19"/>
                <w:szCs w:val="19"/>
                <w:color w:val="auto"/>
              </w:rPr>
            </w:pPr>
          </w:p>
        </w:tc>
        <w:tc>
          <w:tcPr>
            <w:tcW w:w="280" w:type="dxa"/>
            <w:vAlign w:val="bottom"/>
            <w:tcBorders>
              <w:bottom w:val="single" w:sz="8" w:color="1E1E1E"/>
            </w:tcBorders>
            <w:shd w:val="clear" w:color="auto" w:fill="E4E4E4"/>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251,415</w:t>
            </w:r>
          </w:p>
        </w:tc>
        <w:tc>
          <w:tcPr>
            <w:tcW w:w="220" w:type="dxa"/>
            <w:vAlign w:val="bottom"/>
            <w:shd w:val="clear" w:color="auto" w:fill="E4E4E4"/>
          </w:tcPr>
          <w:p>
            <w:pPr>
              <w:spacing w:after="0"/>
              <w:rPr>
                <w:sz w:val="19"/>
                <w:szCs w:val="19"/>
                <w:color w:val="auto"/>
              </w:rPr>
            </w:pPr>
          </w:p>
        </w:tc>
        <w:tc>
          <w:tcPr>
            <w:tcW w:w="280" w:type="dxa"/>
            <w:vAlign w:val="bottom"/>
            <w:tcBorders>
              <w:bottom w:val="single" w:sz="8" w:color="1E1E1E"/>
            </w:tcBorders>
            <w:shd w:val="clear" w:color="auto" w:fill="E4E4E4"/>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222,653</w:t>
            </w:r>
          </w:p>
        </w:tc>
        <w:tc>
          <w:tcPr>
            <w:tcW w:w="220" w:type="dxa"/>
            <w:vAlign w:val="bottom"/>
            <w:shd w:val="clear" w:color="auto" w:fill="E4E4E4"/>
          </w:tcPr>
          <w:p>
            <w:pPr>
              <w:spacing w:after="0"/>
              <w:rPr>
                <w:sz w:val="19"/>
                <w:szCs w:val="19"/>
                <w:color w:val="auto"/>
              </w:rPr>
            </w:pPr>
          </w:p>
        </w:tc>
        <w:tc>
          <w:tcPr>
            <w:tcW w:w="400" w:type="dxa"/>
            <w:vAlign w:val="bottom"/>
            <w:tcBorders>
              <w:bottom w:val="single" w:sz="8" w:color="1E1E1E"/>
            </w:tcBorders>
            <w:shd w:val="clear" w:color="auto" w:fill="E4E4E4"/>
          </w:tcPr>
          <w:p>
            <w:pPr>
              <w:jc w:val="right"/>
              <w:ind w:right="2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4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166,154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1E1E1E"/>
        </w:rPr>
        <w:t xml:space="preserve">For a summary of our revenue disaggregated by service, refer to Note 4. </w:t>
      </w:r>
      <w:r>
        <w:rPr>
          <w:rFonts w:ascii="Times New Roman" w:cs="Times New Roman" w:eastAsia="Times New Roman" w:hAnsi="Times New Roman"/>
          <w:sz w:val="20"/>
          <w:szCs w:val="20"/>
          <w:i w:val="1"/>
          <w:iCs w:val="1"/>
          <w:color w:val="1E1E1E"/>
        </w:rPr>
        <w:t>Revenue</w:t>
      </w:r>
      <w:r>
        <w:rPr>
          <w:rFonts w:ascii="Times New Roman" w:cs="Times New Roman" w:eastAsia="Times New Roman" w:hAnsi="Times New Roman"/>
          <w:sz w:val="20"/>
          <w:szCs w:val="20"/>
          <w:color w:val="1E1E1E"/>
        </w:rPr>
        <w:t>.</w:t>
      </w:r>
    </w:p>
    <w:p>
      <w:pPr>
        <w:spacing w:after="0" w:line="120"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1E1E1E"/>
        </w:rPr>
        <w:t>Long-lived assets by geographical region are based on the location of the legal entity that owns the assets. Long-lived assets by geographic area presented based upon the location of the assets are as follows:</w:t>
      </w:r>
    </w:p>
    <w:p>
      <w:pPr>
        <w:spacing w:after="0" w:line="167"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204"/>
        </w:trPr>
        <w:tc>
          <w:tcPr>
            <w:tcW w:w="37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6"/>
                <w:szCs w:val="16"/>
                <w:b w:val="1"/>
                <w:bCs w:val="1"/>
                <w:i w:val="1"/>
                <w:iCs w:val="1"/>
                <w:color w:val="1E1E1E"/>
              </w:rPr>
              <w:t>(in thousands)</w:t>
            </w:r>
          </w:p>
        </w:tc>
        <w:tc>
          <w:tcPr>
            <w:tcW w:w="160" w:type="dxa"/>
            <w:vAlign w:val="bottom"/>
            <w:tcBorders>
              <w:bottom w:val="single" w:sz="8" w:color="E4E4E4"/>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tcBorders>
              <w:bottom w:val="single" w:sz="8" w:color="E4E4E4"/>
            </w:tcBorders>
          </w:tcPr>
          <w:p>
            <w:pPr>
              <w:spacing w:after="0"/>
              <w:rPr>
                <w:sz w:val="17"/>
                <w:szCs w:val="17"/>
                <w:color w:val="auto"/>
              </w:rPr>
            </w:pPr>
          </w:p>
        </w:tc>
        <w:tc>
          <w:tcPr>
            <w:tcW w:w="18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17"/>
                <w:szCs w:val="17"/>
                <w:color w:val="auto"/>
              </w:rPr>
            </w:pPr>
          </w:p>
        </w:tc>
      </w:tr>
      <w:tr>
        <w:trPr>
          <w:trHeight w:val="220"/>
        </w:trPr>
        <w:tc>
          <w:tcPr>
            <w:tcW w:w="378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1E1E1E"/>
              </w:rPr>
              <w:t>United States</w:t>
            </w:r>
          </w:p>
        </w:tc>
        <w:tc>
          <w:tcPr>
            <w:tcW w:w="160" w:type="dxa"/>
            <w:vAlign w:val="bottom"/>
            <w:shd w:val="clear" w:color="auto" w:fill="E4E4E4"/>
          </w:tcPr>
          <w:p>
            <w:pPr>
              <w:spacing w:after="0"/>
              <w:rPr>
                <w:sz w:val="19"/>
                <w:szCs w:val="19"/>
                <w:color w:val="auto"/>
              </w:rPr>
            </w:pPr>
          </w:p>
        </w:tc>
        <w:tc>
          <w:tcPr>
            <w:tcW w:w="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3,685</w:t>
            </w:r>
          </w:p>
        </w:tc>
        <w:tc>
          <w:tcPr>
            <w:tcW w:w="26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3,911</w:t>
            </w:r>
          </w:p>
        </w:tc>
        <w:tc>
          <w:tcPr>
            <w:tcW w:w="100" w:type="dxa"/>
            <w:vAlign w:val="bottom"/>
            <w:shd w:val="clear" w:color="auto" w:fill="E4E4E4"/>
          </w:tcPr>
          <w:p>
            <w:pPr>
              <w:spacing w:after="0"/>
              <w:rPr>
                <w:sz w:val="19"/>
                <w:szCs w:val="19"/>
                <w:color w:val="auto"/>
              </w:rPr>
            </w:pPr>
          </w:p>
        </w:tc>
      </w:tr>
      <w:tr>
        <w:trPr>
          <w:trHeight w:val="230"/>
        </w:trPr>
        <w:tc>
          <w:tcPr>
            <w:tcW w:w="378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1E1E1E"/>
              </w:rPr>
              <w:t>Rest of world</w:t>
            </w:r>
          </w:p>
        </w:tc>
        <w:tc>
          <w:tcPr>
            <w:tcW w:w="160" w:type="dxa"/>
            <w:vAlign w:val="bottom"/>
            <w:tcBorders>
              <w:bottom w:val="single" w:sz="8" w:color="E4E4E4"/>
            </w:tcBorders>
          </w:tcPr>
          <w:p>
            <w:pPr>
              <w:spacing w:after="0"/>
              <w:rPr>
                <w:sz w:val="19"/>
                <w:szCs w:val="19"/>
                <w:color w:val="auto"/>
              </w:rPr>
            </w:pPr>
          </w:p>
        </w:tc>
        <w:tc>
          <w:tcPr>
            <w:tcW w:w="16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786</w:t>
            </w:r>
          </w:p>
        </w:tc>
        <w:tc>
          <w:tcPr>
            <w:tcW w:w="260" w:type="dxa"/>
            <w:vAlign w:val="bottom"/>
            <w:tcBorders>
              <w:bottom w:val="single" w:sz="8" w:color="E4E4E4"/>
            </w:tcBorders>
          </w:tcPr>
          <w:p>
            <w:pPr>
              <w:spacing w:after="0"/>
              <w:rPr>
                <w:sz w:val="19"/>
                <w:szCs w:val="19"/>
                <w:color w:val="auto"/>
              </w:rPr>
            </w:pPr>
          </w:p>
        </w:tc>
        <w:tc>
          <w:tcPr>
            <w:tcW w:w="1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553</w:t>
            </w:r>
          </w:p>
        </w:tc>
        <w:tc>
          <w:tcPr>
            <w:tcW w:w="100" w:type="dxa"/>
            <w:vAlign w:val="bottom"/>
            <w:tcBorders>
              <w:bottom w:val="single" w:sz="8" w:color="E4E4E4"/>
            </w:tcBorders>
          </w:tcPr>
          <w:p>
            <w:pPr>
              <w:spacing w:after="0"/>
              <w:rPr>
                <w:sz w:val="19"/>
                <w:szCs w:val="19"/>
                <w:color w:val="auto"/>
              </w:rPr>
            </w:pPr>
          </w:p>
        </w:tc>
      </w:tr>
      <w:tr>
        <w:trPr>
          <w:trHeight w:val="220"/>
        </w:trPr>
        <w:tc>
          <w:tcPr>
            <w:tcW w:w="378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long-lived assets</w:t>
            </w:r>
          </w:p>
        </w:tc>
        <w:tc>
          <w:tcPr>
            <w:tcW w:w="160" w:type="dxa"/>
            <w:vAlign w:val="bottom"/>
            <w:shd w:val="clear" w:color="auto" w:fill="E4E4E4"/>
          </w:tcPr>
          <w:p>
            <w:pPr>
              <w:spacing w:after="0"/>
              <w:rPr>
                <w:sz w:val="19"/>
                <w:szCs w:val="19"/>
                <w:color w:val="auto"/>
              </w:rPr>
            </w:pPr>
          </w:p>
        </w:tc>
        <w:tc>
          <w:tcPr>
            <w:tcW w:w="1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4,471</w:t>
            </w:r>
          </w:p>
        </w:tc>
        <w:tc>
          <w:tcPr>
            <w:tcW w:w="260" w:type="dxa"/>
            <w:vAlign w:val="bottom"/>
            <w:shd w:val="clear" w:color="auto" w:fill="E4E4E4"/>
          </w:tcPr>
          <w:p>
            <w:pPr>
              <w:spacing w:after="0"/>
              <w:rPr>
                <w:sz w:val="19"/>
                <w:szCs w:val="19"/>
                <w:color w:val="auto"/>
              </w:rPr>
            </w:pPr>
          </w:p>
        </w:tc>
        <w:tc>
          <w:tcPr>
            <w:tcW w:w="18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60" w:type="dxa"/>
            <w:vAlign w:val="bottom"/>
            <w:tcBorders>
              <w:bottom w:val="single" w:sz="8" w:color="1E1E1E"/>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4,464</w:t>
            </w:r>
          </w:p>
        </w:tc>
        <w:tc>
          <w:tcPr>
            <w:tcW w:w="100" w:type="dxa"/>
            <w:vAlign w:val="bottom"/>
            <w:shd w:val="clear" w:color="auto" w:fill="E4E4E4"/>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00"/>
          </w:cols>
          <w:pgMar w:left="820" w:top="803" w:right="9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1E1E1E"/>
        </w:rPr>
        <w:t>F-54</w:t>
      </w:r>
    </w:p>
    <w:p>
      <w:pPr>
        <w:sectPr>
          <w:pgSz w:w="11880" w:h="15480" w:orient="portrait"/>
          <w:cols w:equalWidth="0" w:num="1">
            <w:col w:w="10100"/>
          </w:cols>
          <w:pgMar w:left="820" w:top="803" w:right="960" w:bottom="8" w:gutter="0" w:footer="0" w:header="0"/>
          <w:type w:val="continuous"/>
        </w:sectPr>
      </w:pPr>
    </w:p>
    <w:bookmarkStart w:id="138" w:name="page139"/>
    <w:bookmarkEnd w:id="138"/>
    <w:p>
      <w:pPr>
        <w:ind w:left="500" w:hanging="492"/>
        <w:spacing w:after="0"/>
        <w:tabs>
          <w:tab w:leader="none" w:pos="500" w:val="left"/>
        </w:tabs>
        <w:numPr>
          <w:ilvl w:val="0"/>
          <w:numId w:val="5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Related Parties</w:t>
      </w:r>
    </w:p>
    <w:p>
      <w:pPr>
        <w:spacing w:after="0" w:line="12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Company has engaged in revenue transactions within the ordinary course of business with entities affiliated with its Sponsors and with members of the Company’s board of directors. During each of the years ended December 31, 2023, 2022, and 2021, the Company recorded revenue from related parties of $1.4 million, $1.5 million and $1.0 million, respectively. The associated receivables for the revenue transactions amounted to $0.9 million, $0.8 million, and $0.6 million at December 31, 2023, 2022, and 2021, respectively.</w:t>
      </w:r>
    </w:p>
    <w:p>
      <w:pPr>
        <w:sectPr>
          <w:pgSz w:w="11880" w:h="15480" w:orient="portrait"/>
          <w:cols w:equalWidth="0" w:num="1">
            <w:col w:w="10140"/>
          </w:cols>
          <w:pgMar w:left="820" w:top="803" w:right="92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1E1E1E"/>
        </w:rPr>
        <w:t>F-55</w:t>
      </w:r>
    </w:p>
    <w:p>
      <w:pPr>
        <w:sectPr>
          <w:pgSz w:w="11880" w:h="15480" w:orient="portrait"/>
          <w:cols w:equalWidth="0" w:num="1">
            <w:col w:w="10140"/>
          </w:cols>
          <w:pgMar w:left="820" w:top="803" w:right="920" w:bottom="8" w:gutter="0" w:footer="0" w:header="0"/>
          <w:type w:val="continuous"/>
        </w:sectPr>
      </w:pPr>
    </w:p>
    <w:bookmarkStart w:id="139" w:name="page140"/>
    <w:bookmarkEnd w:id="139"/>
    <w:p>
      <w:pPr>
        <w:ind w:left="500" w:hanging="492"/>
        <w:spacing w:after="0"/>
        <w:tabs>
          <w:tab w:leader="none" w:pos="500" w:val="left"/>
        </w:tabs>
        <w:numPr>
          <w:ilvl w:val="0"/>
          <w:numId w:val="6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Subsequent Events</w:t>
      </w:r>
    </w:p>
    <w:p>
      <w:pPr>
        <w:spacing w:after="0" w:line="12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1E1E1E"/>
        </w:rPr>
        <w:t>On January 3, 2024, the Company committed to a restructuring plan (the “2024 Plan”) intended to reduce operating costs, improve operating margins, and continue advancing the Company’s ongoing commitment to profitable growth. The 2024 Plan provided for a reduction of the Company’s current workforce by 154 people.</w:t>
      </w:r>
    </w:p>
    <w:p>
      <w:pPr>
        <w:spacing w:after="0" w:line="6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E1E1E"/>
        </w:rPr>
        <w:t>The Company estimates that in the first half of 2024 it will incur pre-tax cash restructuring and related charges to its GAAP financial results of approximately $6.5 million to $7.2 million, consisting primarily of severance payments, employee benefits, and related cash expenses, as well as an approximate $1.5 million non-cash charge related to the vesting of share-based awards for employees who are terminated. The Company expects the 2024 Plan will be substantially complete by the end of the second quarter of 2024.</w:t>
      </w:r>
    </w:p>
    <w:p>
      <w:pPr>
        <w:spacing w:after="0" w:line="77"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1E1E1E"/>
        </w:rPr>
        <w:t>The estimates of the charges and expenditures that the Company expects to incur in connection with the 2024 Plan, and the timing thereof, are subject to a number of assumptions and actual amounts may differ materially from estimates. In addition, the Company may incur other charges or cash expenditures not currently contemplated due to unanticipated events that may occur, including in connection with the implementation of the 2024 Plan.</w:t>
      </w:r>
    </w:p>
    <w:p>
      <w:pPr>
        <w:spacing w:after="0" w:line="7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1E1E1E"/>
        </w:rPr>
        <w:t>On January 16, 2024, the Company completed the purchase of assets comprising the Carevoyance business line of H1 Insights, Inc., a product that helps MedTech customers to improve segmentation, targeting, and prospect engagement for $14.0 million, subject to closing adjustments. The initial accounting for the business combination is incomplete as a result of the timing of the acquisition.</w:t>
      </w:r>
    </w:p>
    <w:p>
      <w:pPr>
        <w:sectPr>
          <w:pgSz w:w="11880" w:h="15480" w:orient="portrait"/>
          <w:cols w:equalWidth="0" w:num="1">
            <w:col w:w="10220"/>
          </w:cols>
          <w:pgMar w:left="820" w:top="803" w:right="8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F-56</w:t>
      </w:r>
    </w:p>
    <w:p>
      <w:pPr>
        <w:sectPr>
          <w:pgSz w:w="11880" w:h="15480" w:orient="portrait"/>
          <w:cols w:equalWidth="0" w:num="1">
            <w:col w:w="10220"/>
          </w:cols>
          <w:pgMar w:left="820" w:top="803" w:right="840" w:bottom="8"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1880" w:h="15480" w:orient="portrait"/>
          <w:cols w:equalWidth="0" w:num="1">
            <w:col w:w="9000"/>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1880" w:h="15480" w:orient="portrait"/>
          <w:cols w:equalWidth="0" w:num="1">
            <w:col w:w="9000"/>
          </w:cols>
          <w:pgMar w:left="1440" w:top="1440" w:right="1440" w:bottom="1440" w:gutter="0" w:footer="0" w:header="0"/>
        </w:sectPr>
      </w:pPr>
    </w:p>
    <w:bookmarkStart w:id="142" w:name="page143"/>
    <w:bookmarkEnd w:id="14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3" w:name="page144"/>
    <w:bookmarkEnd w:id="14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lowerRoman"/>
      <w:start w:val="4"/>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4"/>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2"/>
    </w:lvl>
  </w:abstractNum>
  <w:abstractNum w:abstractNumId="29">
    <w:nsid w:val="57E4CCAF"/>
    <w:multiLevelType w:val="hybridMultilevel"/>
    <w:lvl w:ilvl="0">
      <w:lvlJc w:val="left"/>
      <w:lvlText w:val="(%1)"/>
      <w:numFmt w:val="decimal"/>
      <w:start w:val="3"/>
    </w:lvl>
  </w:abstractNum>
  <w:abstractNum w:abstractNumId="30">
    <w:nsid w:val="7A6D8D3C"/>
    <w:multiLevelType w:val="hybridMultilevel"/>
    <w:lvl w:ilvl="0">
      <w:lvlJc w:val="left"/>
      <w:lvlText w:val="%1"/>
      <w:numFmt w:val="decimal"/>
      <w:start w:val="104"/>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lowerRoman"/>
      <w:start w:val="3"/>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2"/>
    </w:lvl>
  </w:abstractNum>
  <w:abstractNum w:abstractNumId="38">
    <w:nsid w:val="579478FE"/>
    <w:multiLevelType w:val="hybridMultilevel"/>
    <w:lvl w:ilvl="0">
      <w:lvlJc w:val="left"/>
      <w:lvlText w:val="(%1)"/>
      <w:numFmt w:val="lowerRoman"/>
      <w:start w:val="2"/>
    </w:lvl>
  </w:abstractNum>
  <w:abstractNum w:abstractNumId="39">
    <w:nsid w:val="749ABB43"/>
    <w:multiLevelType w:val="hybridMultilevel"/>
    <w:lvl w:ilvl="0">
      <w:lvlJc w:val="left"/>
      <w:lvlText w:val="%1."/>
      <w:numFmt w:val="decimal"/>
      <w:start w:val="3"/>
    </w:lvl>
  </w:abstractNum>
  <w:abstractNum w:abstractNumId="40">
    <w:nsid w:val="3DC240FB"/>
    <w:multiLevelType w:val="hybridMultilevel"/>
    <w:lvl w:ilvl="0">
      <w:lvlJc w:val="left"/>
      <w:lvlText w:val="%1."/>
      <w:numFmt w:val="decimal"/>
      <w:start w:val="4"/>
    </w:lvl>
  </w:abstractNum>
  <w:abstractNum w:abstractNumId="41">
    <w:nsid w:val="1BA026FA"/>
    <w:multiLevelType w:val="hybridMultilevel"/>
    <w:lvl w:ilvl="0">
      <w:lvlJc w:val="left"/>
      <w:lvlText w:val="%1."/>
      <w:numFmt w:val="decimal"/>
      <w:start w:val="5"/>
    </w:lvl>
  </w:abstractNum>
  <w:abstractNum w:abstractNumId="42">
    <w:nsid w:val="79A1DEAA"/>
    <w:multiLevelType w:val="hybridMultilevel"/>
    <w:lvl w:ilvl="0">
      <w:lvlJc w:val="left"/>
      <w:lvlText w:val="%1."/>
      <w:numFmt w:val="decimal"/>
      <w:start w:val="6"/>
    </w:lvl>
  </w:abstractNum>
  <w:abstractNum w:abstractNumId="43">
    <w:nsid w:val="75C6C33A"/>
    <w:multiLevelType w:val="hybridMultilevel"/>
    <w:lvl w:ilvl="0">
      <w:lvlJc w:val="left"/>
      <w:lvlText w:val="%1."/>
      <w:numFmt w:val="decimal"/>
      <w:start w:val="7"/>
    </w:lvl>
  </w:abstractNum>
  <w:abstractNum w:abstractNumId="44">
    <w:nsid w:val="12E685FB"/>
    <w:multiLevelType w:val="hybridMultilevel"/>
    <w:lvl w:ilvl="0">
      <w:lvlJc w:val="left"/>
      <w:lvlText w:val="%1."/>
      <w:numFmt w:val="decimal"/>
      <w:start w:val="8"/>
    </w:lvl>
  </w:abstractNum>
  <w:abstractNum w:abstractNumId="45">
    <w:nsid w:val="70C6A529"/>
    <w:multiLevelType w:val="hybridMultilevel"/>
    <w:lvl w:ilvl="0">
      <w:lvlJc w:val="left"/>
      <w:lvlText w:val="%1."/>
      <w:numFmt w:val="decimal"/>
      <w:start w:val="9"/>
    </w:lvl>
  </w:abstractNum>
  <w:abstractNum w:abstractNumId="46">
    <w:nsid w:val="520EEDD1"/>
    <w:multiLevelType w:val="hybridMultilevel"/>
    <w:lvl w:ilvl="0">
      <w:lvlJc w:val="left"/>
      <w:lvlText w:val="%1."/>
      <w:numFmt w:val="decimal"/>
      <w:start w:val="10"/>
    </w:lvl>
  </w:abstractNum>
  <w:abstractNum w:abstractNumId="47">
    <w:nsid w:val="374A3FE6"/>
    <w:multiLevelType w:val="hybridMultilevel"/>
    <w:lvl w:ilvl="0">
      <w:lvlJc w:val="left"/>
      <w:lvlText w:val="%1."/>
      <w:numFmt w:val="decimal"/>
      <w:start w:val="11"/>
    </w:lvl>
  </w:abstractNum>
  <w:abstractNum w:abstractNumId="48">
    <w:nsid w:val="4F4EF005"/>
    <w:multiLevelType w:val="hybridMultilevel"/>
    <w:lvl w:ilvl="0">
      <w:lvlJc w:val="left"/>
      <w:lvlText w:val="%1."/>
      <w:numFmt w:val="decimal"/>
      <w:start w:val="12"/>
    </w:lvl>
  </w:abstractNum>
  <w:abstractNum w:abstractNumId="49">
    <w:nsid w:val="23F9C13C"/>
    <w:multiLevelType w:val="hybridMultilevel"/>
    <w:lvl w:ilvl="0">
      <w:lvlJc w:val="left"/>
      <w:lvlText w:val="%1."/>
      <w:numFmt w:val="decimal"/>
      <w:start w:val="13"/>
    </w:lvl>
  </w:abstractNum>
  <w:abstractNum w:abstractNumId="50">
    <w:nsid w:val="649BB77C"/>
    <w:multiLevelType w:val="hybridMultilevel"/>
    <w:lvl w:ilvl="0">
      <w:lvlJc w:val="left"/>
      <w:lvlText w:val="%1."/>
      <w:numFmt w:val="decimal"/>
      <w:start w:val="14"/>
    </w:lvl>
  </w:abstractNum>
  <w:abstractNum w:abstractNumId="51">
    <w:nsid w:val="275AC794"/>
    <w:multiLevelType w:val="hybridMultilevel"/>
    <w:lvl w:ilvl="0">
      <w:lvlJc w:val="left"/>
      <w:lvlText w:val="%1."/>
      <w:numFmt w:val="decimal"/>
      <w:start w:val="15"/>
    </w:lvl>
  </w:abstractNum>
  <w:abstractNum w:abstractNumId="52">
    <w:nsid w:val="39386575"/>
    <w:multiLevelType w:val="hybridMultilevel"/>
    <w:lvl w:ilvl="0">
      <w:lvlJc w:val="left"/>
      <w:lvlText w:val="%1."/>
      <w:numFmt w:val="decimal"/>
      <w:start w:val="16"/>
    </w:lvl>
  </w:abstractNum>
  <w:abstractNum w:abstractNumId="53">
    <w:nsid w:val="1CF10FD8"/>
    <w:multiLevelType w:val="hybridMultilevel"/>
    <w:lvl w:ilvl="0">
      <w:lvlJc w:val="left"/>
      <w:lvlText w:val="%1."/>
      <w:numFmt w:val="decimal"/>
      <w:start w:val="17"/>
    </w:lvl>
  </w:abstractNum>
  <w:abstractNum w:abstractNumId="54">
    <w:nsid w:val="180115BE"/>
    <w:multiLevelType w:val="hybridMultilevel"/>
    <w:lvl w:ilvl="0">
      <w:lvlJc w:val="left"/>
      <w:lvlText w:val="%1."/>
      <w:numFmt w:val="decimal"/>
      <w:start w:val="18"/>
    </w:lvl>
  </w:abstractNum>
  <w:abstractNum w:abstractNumId="55">
    <w:nsid w:val="235BA861"/>
    <w:multiLevelType w:val="hybridMultilevel"/>
    <w:lvl w:ilvl="0">
      <w:lvlJc w:val="left"/>
      <w:lvlText w:val="%1."/>
      <w:numFmt w:val="decimal"/>
      <w:start w:val="19"/>
    </w:lvl>
  </w:abstractNum>
  <w:abstractNum w:abstractNumId="56">
    <w:nsid w:val="47398C89"/>
    <w:multiLevelType w:val="hybridMultilevel"/>
    <w:lvl w:ilvl="0">
      <w:lvlJc w:val="left"/>
      <w:lvlText w:val="%1."/>
      <w:numFmt w:val="decimal"/>
      <w:start w:val="20"/>
    </w:lvl>
  </w:abstractNum>
  <w:abstractNum w:abstractNumId="57">
    <w:nsid w:val="354FE9F9"/>
    <w:multiLevelType w:val="hybridMultilevel"/>
    <w:lvl w:ilvl="0">
      <w:lvlJc w:val="left"/>
      <w:lvlText w:val="%1."/>
      <w:numFmt w:val="decimal"/>
      <w:start w:val="21"/>
    </w:lvl>
  </w:abstractNum>
  <w:abstractNum w:abstractNumId="58">
    <w:nsid w:val="15B5AF5C"/>
    <w:multiLevelType w:val="hybridMultilevel"/>
    <w:lvl w:ilvl="0">
      <w:lvlJc w:val="left"/>
      <w:lvlText w:val="%1."/>
      <w:numFmt w:val="decimal"/>
      <w:start w:val="22"/>
    </w:lvl>
  </w:abstractNum>
  <w:abstractNum w:abstractNumId="59">
    <w:nsid w:val="741226B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2024-04-09T15:19:08Z</dcterms:created>
  <dcterms:modified xsi:type="dcterms:W3CDTF">2024-04-09T15:19:08Z</dcterms:modified>
</cp:coreProperties>
</file>