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3"/>
        <w:spacing w:after="0"/>
        <w:rPr>
          <w:sz w:val="20"/>
          <w:szCs w:val="20"/>
          <w:color w:val="auto"/>
        </w:rPr>
      </w:pPr>
      <w:r>
        <w:rPr>
          <w:rFonts w:ascii="Arial" w:cs="Arial" w:eastAsia="Arial" w:hAnsi="Arial"/>
          <w:sz w:val="32"/>
          <w:szCs w:val="32"/>
          <w:b w:val="1"/>
          <w:bCs w:val="1"/>
          <w:color w:val="auto"/>
        </w:rPr>
        <w:drawing>
          <wp:anchor simplePos="0" relativeHeight="251657728" behindDoc="1" locked="0" layoutInCell="0" allowOverlap="1">
            <wp:simplePos x="0" y="0"/>
            <wp:positionH relativeFrom="page">
              <wp:posOffset>276860</wp:posOffset>
            </wp:positionH>
            <wp:positionV relativeFrom="page">
              <wp:posOffset>166370</wp:posOffset>
            </wp:positionV>
            <wp:extent cx="699516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995160" cy="8255"/>
                    </a:xfrm>
                    <a:prstGeom prst="rect">
                      <a:avLst/>
                    </a:prstGeom>
                    <a:noFill/>
                  </pic:spPr>
                </pic:pic>
              </a:graphicData>
            </a:graphic>
          </wp:anchor>
        </w:drawing>
        <w:drawing>
          <wp:anchor simplePos="0" relativeHeight="251657728" behindDoc="1" locked="0" layoutInCell="0" allowOverlap="1">
            <wp:simplePos x="0" y="0"/>
            <wp:positionH relativeFrom="page">
              <wp:posOffset>276860</wp:posOffset>
            </wp:positionH>
            <wp:positionV relativeFrom="page">
              <wp:posOffset>208915</wp:posOffset>
            </wp:positionV>
            <wp:extent cx="699516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995160" cy="8255"/>
                    </a:xfrm>
                    <a:prstGeom prst="rect">
                      <a:avLst/>
                    </a:prstGeom>
                    <a:noFill/>
                  </pic:spPr>
                </pic:pic>
              </a:graphicData>
            </a:graphic>
          </wp:anchor>
        </w:drawing>
        <w:t>UNITED STATES</w:t>
      </w:r>
    </w:p>
    <w:p>
      <w:pPr>
        <w:spacing w:after="0" w:line="31" w:lineRule="exact"/>
        <w:rPr>
          <w:sz w:val="24"/>
          <w:szCs w:val="24"/>
          <w:color w:val="auto"/>
        </w:rPr>
      </w:pPr>
    </w:p>
    <w:p>
      <w:pPr>
        <w:jc w:val="center"/>
        <w:ind w:right="-3"/>
        <w:spacing w:after="0"/>
        <w:rPr>
          <w:sz w:val="20"/>
          <w:szCs w:val="20"/>
          <w:color w:val="auto"/>
        </w:rPr>
      </w:pPr>
      <w:r>
        <w:rPr>
          <w:rFonts w:ascii="Arial" w:cs="Arial" w:eastAsia="Arial" w:hAnsi="Arial"/>
          <w:sz w:val="32"/>
          <w:szCs w:val="32"/>
          <w:b w:val="1"/>
          <w:bCs w:val="1"/>
          <w:color w:val="auto"/>
        </w:rPr>
        <w:t>SECURITIES AND EXCHANGE COMMISSION</w:t>
      </w:r>
    </w:p>
    <w:p>
      <w:pPr>
        <w:jc w:val="center"/>
        <w:ind w:right="-3"/>
        <w:spacing w:after="0"/>
        <w:rPr>
          <w:sz w:val="20"/>
          <w:szCs w:val="20"/>
          <w:color w:val="auto"/>
        </w:rPr>
      </w:pPr>
      <w:r>
        <w:rPr>
          <w:rFonts w:ascii="Arial" w:cs="Arial" w:eastAsia="Arial" w:hAnsi="Arial"/>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227330</wp:posOffset>
            </wp:positionV>
            <wp:extent cx="147447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326" w:lineRule="exact"/>
        <w:rPr>
          <w:sz w:val="24"/>
          <w:szCs w:val="24"/>
          <w:color w:val="auto"/>
        </w:rPr>
      </w:pPr>
    </w:p>
    <w:p>
      <w:pPr>
        <w:jc w:val="center"/>
        <w:ind w:right="-3"/>
        <w:spacing w:after="0"/>
        <w:rPr>
          <w:sz w:val="20"/>
          <w:szCs w:val="20"/>
          <w:color w:val="auto"/>
        </w:rPr>
      </w:pPr>
      <w:r>
        <w:rPr>
          <w:rFonts w:ascii="Arial" w:cs="Arial" w:eastAsia="Arial" w:hAnsi="Arial"/>
          <w:sz w:val="32"/>
          <w:szCs w:val="32"/>
          <w:b w:val="1"/>
          <w:bCs w:val="1"/>
          <w:color w:val="auto"/>
        </w:rPr>
        <w:t>FORM 8-K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247015</wp:posOffset>
            </wp:positionV>
            <wp:extent cx="147447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371" w:lineRule="exact"/>
        <w:rPr>
          <w:sz w:val="24"/>
          <w:szCs w:val="24"/>
          <w:color w:val="auto"/>
        </w:rPr>
      </w:pPr>
    </w:p>
    <w:p>
      <w:pPr>
        <w:jc w:val="center"/>
        <w:ind w:right="-3"/>
        <w:spacing w:after="0"/>
        <w:rPr>
          <w:sz w:val="20"/>
          <w:szCs w:val="20"/>
          <w:color w:val="auto"/>
        </w:rPr>
      </w:pPr>
      <w:r>
        <w:rPr>
          <w:rFonts w:ascii="Arial" w:cs="Arial" w:eastAsia="Arial" w:hAnsi="Arial"/>
          <w:sz w:val="22"/>
          <w:szCs w:val="22"/>
          <w:b w:val="1"/>
          <w:bCs w:val="1"/>
          <w:color w:val="auto"/>
        </w:rPr>
        <w:t>Current Report</w:t>
      </w:r>
    </w:p>
    <w:p>
      <w:pPr>
        <w:spacing w:after="0" w:line="4" w:lineRule="exact"/>
        <w:rPr>
          <w:sz w:val="24"/>
          <w:szCs w:val="24"/>
          <w:color w:val="auto"/>
        </w:rPr>
      </w:pPr>
    </w:p>
    <w:p>
      <w:pPr>
        <w:jc w:val="center"/>
        <w:ind w:right="-3"/>
        <w:spacing w:after="0"/>
        <w:rPr>
          <w:sz w:val="20"/>
          <w:szCs w:val="20"/>
          <w:color w:val="auto"/>
        </w:rPr>
      </w:pPr>
      <w:r>
        <w:rPr>
          <w:rFonts w:ascii="Arial" w:cs="Arial" w:eastAsia="Arial" w:hAnsi="Arial"/>
          <w:sz w:val="22"/>
          <w:szCs w:val="22"/>
          <w:b w:val="1"/>
          <w:bCs w:val="1"/>
          <w:color w:val="auto"/>
        </w:rPr>
        <w:t>Pursuant to Section 13 or 15(d)</w:t>
      </w:r>
    </w:p>
    <w:p>
      <w:pPr>
        <w:jc w:val="center"/>
        <w:ind w:right="-3"/>
        <w:spacing w:after="0"/>
        <w:rPr>
          <w:sz w:val="20"/>
          <w:szCs w:val="20"/>
          <w:color w:val="auto"/>
        </w:rPr>
      </w:pPr>
      <w:r>
        <w:rPr>
          <w:rFonts w:ascii="Arial" w:cs="Arial" w:eastAsia="Arial" w:hAnsi="Arial"/>
          <w:sz w:val="22"/>
          <w:szCs w:val="22"/>
          <w:b w:val="1"/>
          <w:bCs w:val="1"/>
          <w:color w:val="auto"/>
        </w:rPr>
        <w:t>of the Securities Exchange Act of 1934</w:t>
      </w:r>
    </w:p>
    <w:p>
      <w:pPr>
        <w:spacing w:after="0" w:line="182" w:lineRule="exact"/>
        <w:rPr>
          <w:sz w:val="24"/>
          <w:szCs w:val="24"/>
          <w:color w:val="auto"/>
        </w:rPr>
      </w:pPr>
    </w:p>
    <w:p>
      <w:pPr>
        <w:jc w:val="center"/>
        <w:ind w:right="-3"/>
        <w:spacing w:after="0"/>
        <w:rPr>
          <w:sz w:val="20"/>
          <w:szCs w:val="20"/>
          <w:color w:val="auto"/>
        </w:rPr>
      </w:pPr>
      <w:r>
        <w:rPr>
          <w:rFonts w:ascii="Arial" w:cs="Arial" w:eastAsia="Arial" w:hAnsi="Arial"/>
          <w:sz w:val="22"/>
          <w:szCs w:val="22"/>
          <w:b w:val="1"/>
          <w:bCs w:val="1"/>
          <w:color w:val="auto"/>
        </w:rPr>
        <w:t>Date of Report (date of earliest event reported):</w:t>
      </w:r>
    </w:p>
    <w:p>
      <w:pPr>
        <w:spacing w:after="0" w:line="14" w:lineRule="exact"/>
        <w:rPr>
          <w:sz w:val="24"/>
          <w:szCs w:val="24"/>
          <w:color w:val="auto"/>
        </w:rPr>
      </w:pPr>
    </w:p>
    <w:p>
      <w:pPr>
        <w:jc w:val="center"/>
        <w:ind w:right="-3"/>
        <w:spacing w:after="0"/>
        <w:rPr>
          <w:sz w:val="20"/>
          <w:szCs w:val="20"/>
          <w:color w:val="auto"/>
        </w:rPr>
      </w:pPr>
      <w:r>
        <w:rPr>
          <w:rFonts w:ascii="Arial" w:cs="Arial" w:eastAsia="Arial" w:hAnsi="Arial"/>
          <w:sz w:val="22"/>
          <w:szCs w:val="22"/>
          <w:b w:val="1"/>
          <w:bCs w:val="1"/>
          <w:color w:val="auto"/>
        </w:rPr>
        <w:t>October 1, 2021</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218440</wp:posOffset>
            </wp:positionV>
            <wp:extent cx="147447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311" w:lineRule="exact"/>
        <w:rPr>
          <w:sz w:val="24"/>
          <w:szCs w:val="24"/>
          <w:color w:val="auto"/>
        </w:rPr>
      </w:pPr>
    </w:p>
    <w:p>
      <w:pPr>
        <w:jc w:val="center"/>
        <w:ind w:right="-3"/>
        <w:spacing w:after="0"/>
        <w:rPr>
          <w:sz w:val="20"/>
          <w:szCs w:val="20"/>
          <w:color w:val="auto"/>
        </w:rPr>
      </w:pPr>
      <w:r>
        <w:rPr>
          <w:rFonts w:ascii="Arial" w:cs="Arial" w:eastAsia="Arial" w:hAnsi="Arial"/>
          <w:sz w:val="43"/>
          <w:szCs w:val="43"/>
          <w:b w:val="1"/>
          <w:bCs w:val="1"/>
          <w:color w:val="auto"/>
        </w:rPr>
        <w:t>Definitive Healthcare Corp.</w:t>
      </w:r>
    </w:p>
    <w:p>
      <w:pPr>
        <w:spacing w:after="0" w:line="50" w:lineRule="exact"/>
        <w:rPr>
          <w:sz w:val="24"/>
          <w:szCs w:val="24"/>
          <w:color w:val="auto"/>
        </w:rPr>
      </w:pPr>
    </w:p>
    <w:p>
      <w:pPr>
        <w:jc w:val="center"/>
        <w:ind w:right="-3"/>
        <w:spacing w:after="0"/>
        <w:rPr>
          <w:sz w:val="20"/>
          <w:szCs w:val="20"/>
          <w:color w:val="auto"/>
        </w:rPr>
      </w:pPr>
      <w:r>
        <w:rPr>
          <w:rFonts w:ascii="Arial" w:cs="Arial" w:eastAsia="Arial" w:hAnsi="Arial"/>
          <w:sz w:val="18"/>
          <w:szCs w:val="18"/>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236220</wp:posOffset>
            </wp:positionV>
            <wp:extent cx="147447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474470" cy="889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17" w:lineRule="exact"/>
        <w:rPr>
          <w:sz w:val="24"/>
          <w:szCs w:val="24"/>
          <w:color w:val="auto"/>
        </w:rPr>
      </w:pPr>
    </w:p>
    <w:tbl>
      <w:tblPr>
        <w:tblLayout w:type="fixed"/>
        <w:tblInd w:w="2324" w:type="dxa"/>
        <w:tblCellMar>
          <w:top w:w="0" w:type="dxa"/>
          <w:left w:w="0" w:type="dxa"/>
          <w:bottom w:w="0" w:type="dxa"/>
          <w:right w:w="0" w:type="dxa"/>
        </w:tblCellMar>
      </w:tblPr>
      <w:tr>
        <w:trPr>
          <w:trHeight w:val="234"/>
        </w:trPr>
        <w:tc>
          <w:tcPr>
            <w:tcW w:w="1020" w:type="dxa"/>
            <w:vAlign w:val="bottom"/>
          </w:tcPr>
          <w:p>
            <w:pPr>
              <w:spacing w:after="0"/>
              <w:rPr>
                <w:sz w:val="20"/>
                <w:szCs w:val="20"/>
                <w:color w:val="auto"/>
              </w:rPr>
            </w:pPr>
          </w:p>
        </w:tc>
        <w:tc>
          <w:tcPr>
            <w:tcW w:w="5560" w:type="dxa"/>
            <w:vAlign w:val="bottom"/>
          </w:tcPr>
          <w:p>
            <w:pPr>
              <w:jc w:val="center"/>
              <w:ind w:right="1138"/>
              <w:spacing w:after="0"/>
              <w:rPr>
                <w:sz w:val="20"/>
                <w:szCs w:val="20"/>
                <w:color w:val="auto"/>
              </w:rPr>
            </w:pPr>
            <w:r>
              <w:rPr>
                <w:rFonts w:ascii="Arial" w:cs="Arial" w:eastAsia="Arial" w:hAnsi="Arial"/>
                <w:sz w:val="18"/>
                <w:szCs w:val="18"/>
                <w:b w:val="1"/>
                <w:bCs w:val="1"/>
                <w:color w:val="auto"/>
                <w:w w:val="90"/>
              </w:rPr>
              <w:t>Commission file number 1-40815</w:t>
            </w:r>
          </w:p>
        </w:tc>
      </w:tr>
      <w:tr>
        <w:trPr>
          <w:trHeight w:val="436"/>
        </w:trPr>
        <w:tc>
          <w:tcPr>
            <w:tcW w:w="1020" w:type="dxa"/>
            <w:vAlign w:val="bottom"/>
          </w:tcPr>
          <w:p>
            <w:pPr>
              <w:jc w:val="center"/>
              <w:ind w:right="22"/>
              <w:spacing w:after="0"/>
              <w:rPr>
                <w:sz w:val="20"/>
                <w:szCs w:val="20"/>
                <w:color w:val="auto"/>
              </w:rPr>
            </w:pPr>
            <w:r>
              <w:rPr>
                <w:rFonts w:ascii="Arial" w:cs="Arial" w:eastAsia="Arial" w:hAnsi="Arial"/>
                <w:sz w:val="18"/>
                <w:szCs w:val="18"/>
                <w:b w:val="1"/>
                <w:bCs w:val="1"/>
                <w:color w:val="auto"/>
                <w:w w:val="91"/>
              </w:rPr>
              <w:t>Delaware</w:t>
            </w:r>
          </w:p>
        </w:tc>
        <w:tc>
          <w:tcPr>
            <w:tcW w:w="5560" w:type="dxa"/>
            <w:vAlign w:val="bottom"/>
          </w:tcPr>
          <w:p>
            <w:pPr>
              <w:jc w:val="center"/>
              <w:ind w:left="4358"/>
              <w:spacing w:after="0"/>
              <w:rPr>
                <w:sz w:val="20"/>
                <w:szCs w:val="20"/>
                <w:color w:val="auto"/>
              </w:rPr>
            </w:pPr>
            <w:r>
              <w:rPr>
                <w:rFonts w:ascii="Arial" w:cs="Arial" w:eastAsia="Arial" w:hAnsi="Arial"/>
                <w:sz w:val="18"/>
                <w:szCs w:val="18"/>
                <w:b w:val="1"/>
                <w:bCs w:val="1"/>
                <w:color w:val="auto"/>
                <w:w w:val="91"/>
              </w:rPr>
              <w:t>86-3988281</w:t>
            </w:r>
          </w:p>
        </w:tc>
      </w:tr>
      <w:tr>
        <w:trPr>
          <w:trHeight w:val="148"/>
        </w:trPr>
        <w:tc>
          <w:tcPr>
            <w:tcW w:w="1020" w:type="dxa"/>
            <w:vAlign w:val="bottom"/>
          </w:tcPr>
          <w:p>
            <w:pPr>
              <w:jc w:val="center"/>
              <w:ind w:right="22"/>
              <w:spacing w:after="0" w:line="149" w:lineRule="exact"/>
              <w:rPr>
                <w:sz w:val="20"/>
                <w:szCs w:val="20"/>
                <w:color w:val="auto"/>
              </w:rPr>
            </w:pPr>
            <w:r>
              <w:rPr>
                <w:rFonts w:ascii="Arial" w:cs="Arial" w:eastAsia="Arial" w:hAnsi="Arial"/>
                <w:sz w:val="14"/>
                <w:szCs w:val="14"/>
                <w:b w:val="1"/>
                <w:bCs w:val="1"/>
                <w:color w:val="auto"/>
                <w:w w:val="92"/>
              </w:rPr>
              <w:t>(State of</w:t>
            </w:r>
          </w:p>
        </w:tc>
        <w:tc>
          <w:tcPr>
            <w:tcW w:w="5560" w:type="dxa"/>
            <w:vAlign w:val="bottom"/>
          </w:tcPr>
          <w:p>
            <w:pPr>
              <w:jc w:val="center"/>
              <w:ind w:left="4358"/>
              <w:spacing w:after="0" w:line="149" w:lineRule="exact"/>
              <w:rPr>
                <w:sz w:val="20"/>
                <w:szCs w:val="20"/>
                <w:color w:val="auto"/>
              </w:rPr>
            </w:pPr>
            <w:r>
              <w:rPr>
                <w:rFonts w:ascii="Arial" w:cs="Arial" w:eastAsia="Arial" w:hAnsi="Arial"/>
                <w:sz w:val="14"/>
                <w:szCs w:val="14"/>
                <w:b w:val="1"/>
                <w:bCs w:val="1"/>
                <w:color w:val="auto"/>
                <w:w w:val="96"/>
              </w:rPr>
              <w:t>(I.R.S. Employer</w:t>
            </w:r>
          </w:p>
        </w:tc>
      </w:tr>
      <w:tr>
        <w:trPr>
          <w:trHeight w:val="186"/>
        </w:trPr>
        <w:tc>
          <w:tcPr>
            <w:tcW w:w="1020" w:type="dxa"/>
            <w:vAlign w:val="bottom"/>
          </w:tcPr>
          <w:p>
            <w:pPr>
              <w:jc w:val="center"/>
              <w:ind w:right="42"/>
              <w:spacing w:after="0"/>
              <w:rPr>
                <w:sz w:val="20"/>
                <w:szCs w:val="20"/>
                <w:color w:val="auto"/>
              </w:rPr>
            </w:pPr>
            <w:r>
              <w:rPr>
                <w:rFonts w:ascii="Arial" w:cs="Arial" w:eastAsia="Arial" w:hAnsi="Arial"/>
                <w:sz w:val="14"/>
                <w:szCs w:val="14"/>
                <w:b w:val="1"/>
                <w:bCs w:val="1"/>
                <w:color w:val="auto"/>
                <w:w w:val="94"/>
              </w:rPr>
              <w:t>incorporation)</w:t>
            </w:r>
          </w:p>
        </w:tc>
        <w:tc>
          <w:tcPr>
            <w:tcW w:w="5560" w:type="dxa"/>
            <w:vAlign w:val="bottom"/>
          </w:tcPr>
          <w:p>
            <w:pPr>
              <w:jc w:val="center"/>
              <w:ind w:left="4358"/>
              <w:spacing w:after="0"/>
              <w:rPr>
                <w:sz w:val="20"/>
                <w:szCs w:val="20"/>
                <w:color w:val="auto"/>
              </w:rPr>
            </w:pPr>
            <w:r>
              <w:rPr>
                <w:rFonts w:ascii="Arial" w:cs="Arial" w:eastAsia="Arial" w:hAnsi="Arial"/>
                <w:sz w:val="14"/>
                <w:szCs w:val="14"/>
                <w:b w:val="1"/>
                <w:bCs w:val="1"/>
                <w:color w:val="auto"/>
                <w:w w:val="94"/>
              </w:rPr>
              <w:t>Identification No.)</w:t>
            </w:r>
          </w:p>
        </w:tc>
      </w:tr>
      <w:tr>
        <w:trPr>
          <w:trHeight w:val="412"/>
        </w:trPr>
        <w:tc>
          <w:tcPr>
            <w:tcW w:w="1020" w:type="dxa"/>
            <w:vAlign w:val="bottom"/>
          </w:tcPr>
          <w:p>
            <w:pPr>
              <w:spacing w:after="0"/>
              <w:rPr>
                <w:sz w:val="24"/>
                <w:szCs w:val="24"/>
                <w:color w:val="auto"/>
              </w:rPr>
            </w:pPr>
          </w:p>
        </w:tc>
        <w:tc>
          <w:tcPr>
            <w:tcW w:w="5560" w:type="dxa"/>
            <w:vAlign w:val="bottom"/>
          </w:tcPr>
          <w:p>
            <w:pPr>
              <w:jc w:val="center"/>
              <w:ind w:right="1158"/>
              <w:spacing w:after="0"/>
              <w:rPr>
                <w:sz w:val="20"/>
                <w:szCs w:val="20"/>
                <w:color w:val="auto"/>
              </w:rPr>
            </w:pPr>
            <w:r>
              <w:rPr>
                <w:rFonts w:ascii="Arial" w:cs="Arial" w:eastAsia="Arial" w:hAnsi="Arial"/>
                <w:sz w:val="18"/>
                <w:szCs w:val="18"/>
                <w:b w:val="1"/>
                <w:bCs w:val="1"/>
                <w:color w:val="auto"/>
                <w:w w:val="91"/>
              </w:rPr>
              <w:t>550 Cochituate Rd</w:t>
            </w:r>
          </w:p>
        </w:tc>
      </w:tr>
      <w:tr>
        <w:trPr>
          <w:trHeight w:val="212"/>
        </w:trPr>
        <w:tc>
          <w:tcPr>
            <w:tcW w:w="1020" w:type="dxa"/>
            <w:vAlign w:val="bottom"/>
          </w:tcPr>
          <w:p>
            <w:pPr>
              <w:spacing w:after="0"/>
              <w:rPr>
                <w:sz w:val="18"/>
                <w:szCs w:val="18"/>
                <w:color w:val="auto"/>
              </w:rPr>
            </w:pPr>
          </w:p>
        </w:tc>
        <w:tc>
          <w:tcPr>
            <w:tcW w:w="5560" w:type="dxa"/>
            <w:vAlign w:val="bottom"/>
          </w:tcPr>
          <w:p>
            <w:pPr>
              <w:jc w:val="center"/>
              <w:ind w:right="1138"/>
              <w:spacing w:after="0"/>
              <w:rPr>
                <w:sz w:val="20"/>
                <w:szCs w:val="20"/>
                <w:color w:val="auto"/>
              </w:rPr>
            </w:pPr>
            <w:r>
              <w:rPr>
                <w:rFonts w:ascii="Arial" w:cs="Arial" w:eastAsia="Arial" w:hAnsi="Arial"/>
                <w:sz w:val="18"/>
                <w:szCs w:val="18"/>
                <w:b w:val="1"/>
                <w:bCs w:val="1"/>
                <w:color w:val="auto"/>
                <w:w w:val="94"/>
              </w:rPr>
              <w:t>Framingham, MA 01701</w:t>
            </w:r>
          </w:p>
        </w:tc>
      </w:tr>
      <w:tr>
        <w:trPr>
          <w:trHeight w:val="186"/>
        </w:trPr>
        <w:tc>
          <w:tcPr>
            <w:tcW w:w="1020" w:type="dxa"/>
            <w:vAlign w:val="bottom"/>
          </w:tcPr>
          <w:p>
            <w:pPr>
              <w:spacing w:after="0"/>
              <w:rPr>
                <w:sz w:val="16"/>
                <w:szCs w:val="16"/>
                <w:color w:val="auto"/>
              </w:rPr>
            </w:pPr>
          </w:p>
        </w:tc>
        <w:tc>
          <w:tcPr>
            <w:tcW w:w="5560" w:type="dxa"/>
            <w:vAlign w:val="bottom"/>
          </w:tcPr>
          <w:p>
            <w:pPr>
              <w:jc w:val="center"/>
              <w:ind w:right="1138"/>
              <w:spacing w:after="0"/>
              <w:rPr>
                <w:sz w:val="20"/>
                <w:szCs w:val="20"/>
                <w:color w:val="auto"/>
              </w:rPr>
            </w:pPr>
            <w:r>
              <w:rPr>
                <w:rFonts w:ascii="Arial" w:cs="Arial" w:eastAsia="Arial" w:hAnsi="Arial"/>
                <w:sz w:val="14"/>
                <w:szCs w:val="14"/>
                <w:b w:val="1"/>
                <w:bCs w:val="1"/>
                <w:color w:val="auto"/>
                <w:w w:val="91"/>
              </w:rPr>
              <w:t>(Address of principal executive offices)</w:t>
            </w:r>
          </w:p>
        </w:tc>
      </w:tr>
      <w:tr>
        <w:trPr>
          <w:trHeight w:val="394"/>
        </w:trPr>
        <w:tc>
          <w:tcPr>
            <w:tcW w:w="1020" w:type="dxa"/>
            <w:vAlign w:val="bottom"/>
          </w:tcPr>
          <w:p>
            <w:pPr>
              <w:spacing w:after="0"/>
              <w:rPr>
                <w:sz w:val="24"/>
                <w:szCs w:val="24"/>
                <w:color w:val="auto"/>
              </w:rPr>
            </w:pPr>
          </w:p>
        </w:tc>
        <w:tc>
          <w:tcPr>
            <w:tcW w:w="5560" w:type="dxa"/>
            <w:vAlign w:val="bottom"/>
          </w:tcPr>
          <w:p>
            <w:pPr>
              <w:jc w:val="center"/>
              <w:ind w:right="1158"/>
              <w:spacing w:after="0"/>
              <w:rPr>
                <w:sz w:val="20"/>
                <w:szCs w:val="20"/>
                <w:color w:val="auto"/>
              </w:rPr>
            </w:pPr>
            <w:r>
              <w:rPr>
                <w:rFonts w:ascii="Arial" w:cs="Arial" w:eastAsia="Arial" w:hAnsi="Arial"/>
                <w:sz w:val="18"/>
                <w:szCs w:val="18"/>
                <w:b w:val="1"/>
                <w:bCs w:val="1"/>
                <w:color w:val="auto"/>
                <w:w w:val="90"/>
              </w:rPr>
              <w:t>(508) 720-4224</w:t>
            </w:r>
          </w:p>
        </w:tc>
      </w:tr>
      <w:tr>
        <w:trPr>
          <w:trHeight w:val="186"/>
        </w:trPr>
        <w:tc>
          <w:tcPr>
            <w:tcW w:w="1020" w:type="dxa"/>
            <w:vAlign w:val="bottom"/>
          </w:tcPr>
          <w:p>
            <w:pPr>
              <w:spacing w:after="0"/>
              <w:rPr>
                <w:sz w:val="16"/>
                <w:szCs w:val="16"/>
                <w:color w:val="auto"/>
              </w:rPr>
            </w:pPr>
          </w:p>
        </w:tc>
        <w:tc>
          <w:tcPr>
            <w:tcW w:w="5560" w:type="dxa"/>
            <w:vAlign w:val="bottom"/>
          </w:tcPr>
          <w:p>
            <w:pPr>
              <w:jc w:val="center"/>
              <w:ind w:right="1158"/>
              <w:spacing w:after="0"/>
              <w:rPr>
                <w:sz w:val="20"/>
                <w:szCs w:val="20"/>
                <w:color w:val="auto"/>
              </w:rPr>
            </w:pPr>
            <w:r>
              <w:rPr>
                <w:rFonts w:ascii="Arial" w:cs="Arial" w:eastAsia="Arial" w:hAnsi="Arial"/>
                <w:sz w:val="14"/>
                <w:szCs w:val="14"/>
                <w:b w:val="1"/>
                <w:bCs w:val="1"/>
                <w:color w:val="auto"/>
                <w:w w:val="91"/>
              </w:rPr>
              <w:t>Registrant’s telephone number, including area code</w:t>
            </w:r>
          </w:p>
        </w:tc>
      </w:tr>
      <w:tr>
        <w:trPr>
          <w:trHeight w:val="394"/>
        </w:trPr>
        <w:tc>
          <w:tcPr>
            <w:tcW w:w="1020" w:type="dxa"/>
            <w:vAlign w:val="bottom"/>
          </w:tcPr>
          <w:p>
            <w:pPr>
              <w:spacing w:after="0"/>
              <w:rPr>
                <w:sz w:val="24"/>
                <w:szCs w:val="24"/>
                <w:color w:val="auto"/>
              </w:rPr>
            </w:pPr>
          </w:p>
        </w:tc>
        <w:tc>
          <w:tcPr>
            <w:tcW w:w="5560" w:type="dxa"/>
            <w:vAlign w:val="bottom"/>
          </w:tcPr>
          <w:p>
            <w:pPr>
              <w:jc w:val="center"/>
              <w:ind w:right="1158"/>
              <w:spacing w:after="0"/>
              <w:rPr>
                <w:sz w:val="20"/>
                <w:szCs w:val="20"/>
                <w:color w:val="auto"/>
              </w:rPr>
            </w:pPr>
            <w:r>
              <w:rPr>
                <w:rFonts w:ascii="Arial" w:cs="Arial" w:eastAsia="Arial" w:hAnsi="Arial"/>
                <w:sz w:val="18"/>
                <w:szCs w:val="18"/>
                <w:b w:val="1"/>
                <w:bCs w:val="1"/>
                <w:color w:val="auto"/>
                <w:w w:val="92"/>
              </w:rPr>
              <w:t>Not Applicable</w:t>
            </w:r>
          </w:p>
        </w:tc>
      </w:tr>
      <w:tr>
        <w:trPr>
          <w:trHeight w:val="186"/>
        </w:trPr>
        <w:tc>
          <w:tcPr>
            <w:tcW w:w="1020" w:type="dxa"/>
            <w:vAlign w:val="bottom"/>
          </w:tcPr>
          <w:p>
            <w:pPr>
              <w:spacing w:after="0"/>
              <w:rPr>
                <w:sz w:val="16"/>
                <w:szCs w:val="16"/>
                <w:color w:val="auto"/>
              </w:rPr>
            </w:pPr>
          </w:p>
        </w:tc>
        <w:tc>
          <w:tcPr>
            <w:tcW w:w="5560" w:type="dxa"/>
            <w:vAlign w:val="bottom"/>
          </w:tcPr>
          <w:p>
            <w:pPr>
              <w:jc w:val="center"/>
              <w:ind w:right="1138"/>
              <w:spacing w:after="0"/>
              <w:rPr>
                <w:sz w:val="20"/>
                <w:szCs w:val="20"/>
                <w:color w:val="auto"/>
              </w:rPr>
            </w:pPr>
            <w:r>
              <w:rPr>
                <w:rFonts w:ascii="Arial" w:cs="Arial" w:eastAsia="Arial" w:hAnsi="Arial"/>
                <w:sz w:val="14"/>
                <w:szCs w:val="14"/>
                <w:b w:val="1"/>
                <w:bCs w:val="1"/>
                <w:color w:val="auto"/>
                <w:w w:val="93"/>
              </w:rPr>
              <w:t>(Former Name or Former Address, if Changed Since Last Report)</w:t>
            </w: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222250</wp:posOffset>
            </wp:positionV>
            <wp:extent cx="147447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345" w:lineRule="exact"/>
        <w:rPr>
          <w:sz w:val="24"/>
          <w:szCs w:val="24"/>
          <w:color w:val="auto"/>
        </w:rPr>
      </w:pPr>
    </w:p>
    <w:p>
      <w:pPr>
        <w:jc w:val="center"/>
        <w:ind w:left="440" w:right="240"/>
        <w:spacing w:after="0" w:line="277" w:lineRule="auto"/>
        <w:rPr>
          <w:sz w:val="20"/>
          <w:szCs w:val="20"/>
          <w:color w:val="auto"/>
        </w:rPr>
      </w:pPr>
      <w:r>
        <w:rPr>
          <w:rFonts w:ascii="Arial" w:cs="Arial" w:eastAsia="Arial" w:hAnsi="Arial"/>
          <w:sz w:val="18"/>
          <w:szCs w:val="18"/>
          <w:color w:val="auto"/>
        </w:rPr>
        <w:t>Check the appropriate box below if the Form 8-K filing is intended to simultaneously satisfy the filing obligation of the registrant under any of the following provisions:</w:t>
      </w:r>
    </w:p>
    <w:p>
      <w:pPr>
        <w:spacing w:after="0" w:line="76" w:lineRule="exact"/>
        <w:rPr>
          <w:sz w:val="24"/>
          <w:szCs w:val="24"/>
          <w:color w:val="auto"/>
        </w:rPr>
      </w:pPr>
    </w:p>
    <w:p>
      <w:pPr>
        <w:ind w:left="424" w:hanging="424"/>
        <w:spacing w:after="0"/>
        <w:tabs>
          <w:tab w:leader="none" w:pos="424"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Written communications pursuant to Rule 425 under the Securities Act (17 CFR 230.425)</w:t>
      </w:r>
    </w:p>
    <w:p>
      <w:pPr>
        <w:spacing w:after="0" w:line="130" w:lineRule="exact"/>
        <w:rPr>
          <w:rFonts w:ascii="MS PGothic" w:cs="MS PGothic" w:eastAsia="MS PGothic" w:hAnsi="MS PGothic"/>
          <w:sz w:val="18"/>
          <w:szCs w:val="18"/>
          <w:color w:val="auto"/>
        </w:rPr>
      </w:pPr>
    </w:p>
    <w:p>
      <w:pPr>
        <w:ind w:left="424" w:hanging="424"/>
        <w:spacing w:after="0"/>
        <w:tabs>
          <w:tab w:leader="none" w:pos="424"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Soliciting material pursuant to Rule 14a-12 under the Exchange Act (17 CFR 240.14a-12)</w:t>
      </w:r>
    </w:p>
    <w:p>
      <w:pPr>
        <w:spacing w:after="0" w:line="130" w:lineRule="exact"/>
        <w:rPr>
          <w:rFonts w:ascii="MS PGothic" w:cs="MS PGothic" w:eastAsia="MS PGothic" w:hAnsi="MS PGothic"/>
          <w:sz w:val="18"/>
          <w:szCs w:val="18"/>
          <w:color w:val="auto"/>
        </w:rPr>
      </w:pPr>
    </w:p>
    <w:p>
      <w:pPr>
        <w:ind w:left="424" w:hanging="424"/>
        <w:spacing w:after="0"/>
        <w:tabs>
          <w:tab w:leader="none" w:pos="424"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14d-2(b) under the Exchange Act (17 CFR 240.14d-2(b))</w:t>
      </w:r>
    </w:p>
    <w:p>
      <w:pPr>
        <w:spacing w:after="0" w:line="130" w:lineRule="exact"/>
        <w:rPr>
          <w:rFonts w:ascii="MS PGothic" w:cs="MS PGothic" w:eastAsia="MS PGothic" w:hAnsi="MS PGothic"/>
          <w:sz w:val="18"/>
          <w:szCs w:val="18"/>
          <w:color w:val="auto"/>
        </w:rPr>
      </w:pPr>
    </w:p>
    <w:p>
      <w:pPr>
        <w:ind w:left="424" w:hanging="424"/>
        <w:spacing w:after="0"/>
        <w:tabs>
          <w:tab w:leader="none" w:pos="424"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13e-4(c) under the Exchange Act (17 CFR 240.13e-4(c))</w:t>
      </w:r>
    </w:p>
    <w:p>
      <w:pPr>
        <w:spacing w:after="0" w:line="225" w:lineRule="exact"/>
        <w:rPr>
          <w:sz w:val="24"/>
          <w:szCs w:val="24"/>
          <w:color w:val="auto"/>
        </w:rPr>
      </w:pPr>
    </w:p>
    <w:p>
      <w:pPr>
        <w:ind w:left="4"/>
        <w:spacing w:after="0"/>
        <w:rPr>
          <w:sz w:val="20"/>
          <w:szCs w:val="20"/>
          <w:color w:val="auto"/>
        </w:rPr>
      </w:pPr>
      <w:r>
        <w:rPr>
          <w:rFonts w:ascii="Arial" w:cs="Arial" w:eastAsia="Arial" w:hAnsi="Arial"/>
          <w:sz w:val="18"/>
          <w:szCs w:val="18"/>
          <w:color w:val="auto"/>
        </w:rPr>
        <w:t>Securities registered pursuant to Section 12(b) of the Act:</w:t>
      </w:r>
    </w:p>
    <w:p>
      <w:pPr>
        <w:spacing w:after="0" w:line="231" w:lineRule="exact"/>
        <w:rPr>
          <w:sz w:val="24"/>
          <w:szCs w:val="24"/>
          <w:color w:val="auto"/>
        </w:rPr>
      </w:pPr>
    </w:p>
    <w:tbl>
      <w:tblPr>
        <w:tblLayout w:type="fixed"/>
        <w:tblInd w:w="4" w:type="dxa"/>
        <w:tblCellMar>
          <w:top w:w="0" w:type="dxa"/>
          <w:left w:w="0" w:type="dxa"/>
          <w:bottom w:w="0" w:type="dxa"/>
          <w:right w:w="0" w:type="dxa"/>
        </w:tblCellMar>
      </w:tblPr>
      <w:tr>
        <w:trPr>
          <w:trHeight w:val="161"/>
        </w:trPr>
        <w:tc>
          <w:tcPr>
            <w:tcW w:w="3860" w:type="dxa"/>
            <w:vAlign w:val="bottom"/>
            <w:gridSpan w:val="2"/>
            <w:vMerge w:val="restart"/>
          </w:tcPr>
          <w:p>
            <w:pPr>
              <w:jc w:val="center"/>
              <w:ind w:right="140"/>
              <w:spacing w:after="0"/>
              <w:rPr>
                <w:sz w:val="20"/>
                <w:szCs w:val="20"/>
                <w:color w:val="auto"/>
              </w:rPr>
            </w:pPr>
            <w:r>
              <w:rPr>
                <w:rFonts w:ascii="Arial" w:cs="Arial" w:eastAsia="Arial" w:hAnsi="Arial"/>
                <w:sz w:val="14"/>
                <w:szCs w:val="14"/>
                <w:b w:val="1"/>
                <w:bCs w:val="1"/>
                <w:color w:val="auto"/>
                <w:w w:val="93"/>
              </w:rPr>
              <w:t>Title of Each Class</w:t>
            </w:r>
          </w:p>
        </w:tc>
        <w:tc>
          <w:tcPr>
            <w:tcW w:w="362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93"/>
              </w:rPr>
              <w:t>Trading</w:t>
            </w:r>
          </w:p>
        </w:tc>
        <w:tc>
          <w:tcPr>
            <w:tcW w:w="3540" w:type="dxa"/>
            <w:vAlign w:val="bottom"/>
          </w:tcPr>
          <w:p>
            <w:pPr>
              <w:jc w:val="center"/>
              <w:spacing w:after="0"/>
              <w:rPr>
                <w:sz w:val="20"/>
                <w:szCs w:val="20"/>
                <w:color w:val="auto"/>
              </w:rPr>
            </w:pPr>
            <w:r>
              <w:rPr>
                <w:rFonts w:ascii="Arial" w:cs="Arial" w:eastAsia="Arial" w:hAnsi="Arial"/>
                <w:sz w:val="14"/>
                <w:szCs w:val="14"/>
                <w:b w:val="1"/>
                <w:bCs w:val="1"/>
                <w:color w:val="auto"/>
                <w:w w:val="92"/>
              </w:rPr>
              <w:t>Name of Each Exchange</w:t>
            </w:r>
          </w:p>
        </w:tc>
        <w:tc>
          <w:tcPr>
            <w:tcW w:w="0" w:type="dxa"/>
            <w:vAlign w:val="bottom"/>
          </w:tcPr>
          <w:p>
            <w:pPr>
              <w:spacing w:after="0"/>
              <w:rPr>
                <w:sz w:val="1"/>
                <w:szCs w:val="1"/>
                <w:color w:val="auto"/>
              </w:rPr>
            </w:pPr>
          </w:p>
        </w:tc>
      </w:tr>
      <w:tr>
        <w:trPr>
          <w:trHeight w:val="185"/>
        </w:trPr>
        <w:tc>
          <w:tcPr>
            <w:tcW w:w="3860" w:type="dxa"/>
            <w:vAlign w:val="bottom"/>
            <w:gridSpan w:val="2"/>
            <w:vMerge w:val="continue"/>
          </w:tcPr>
          <w:p>
            <w:pPr>
              <w:spacing w:after="0"/>
              <w:rPr>
                <w:sz w:val="16"/>
                <w:szCs w:val="16"/>
                <w:color w:val="auto"/>
              </w:rPr>
            </w:pPr>
          </w:p>
        </w:tc>
        <w:tc>
          <w:tcPr>
            <w:tcW w:w="362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94"/>
              </w:rPr>
              <w:t>Symbol</w:t>
            </w:r>
          </w:p>
        </w:tc>
        <w:tc>
          <w:tcPr>
            <w:tcW w:w="3540" w:type="dxa"/>
            <w:vAlign w:val="bottom"/>
          </w:tcPr>
          <w:p>
            <w:pPr>
              <w:jc w:val="center"/>
              <w:spacing w:after="0"/>
              <w:rPr>
                <w:sz w:val="20"/>
                <w:szCs w:val="20"/>
                <w:color w:val="auto"/>
              </w:rPr>
            </w:pPr>
            <w:r>
              <w:rPr>
                <w:rFonts w:ascii="Arial" w:cs="Arial" w:eastAsia="Arial" w:hAnsi="Arial"/>
                <w:sz w:val="14"/>
                <w:szCs w:val="14"/>
                <w:b w:val="1"/>
                <w:bCs w:val="1"/>
                <w:color w:val="auto"/>
                <w:w w:val="93"/>
              </w:rPr>
              <w:t>on Which Registered</w:t>
            </w:r>
          </w:p>
        </w:tc>
        <w:tc>
          <w:tcPr>
            <w:tcW w:w="0" w:type="dxa"/>
            <w:vAlign w:val="bottom"/>
          </w:tcPr>
          <w:p>
            <w:pPr>
              <w:spacing w:after="0"/>
              <w:rPr>
                <w:sz w:val="1"/>
                <w:szCs w:val="1"/>
                <w:color w:val="auto"/>
              </w:rPr>
            </w:pPr>
          </w:p>
        </w:tc>
      </w:tr>
      <w:tr>
        <w:trPr>
          <w:trHeight w:val="228"/>
        </w:trPr>
        <w:tc>
          <w:tcPr>
            <w:tcW w:w="3740" w:type="dxa"/>
            <w:vAlign w:val="bottom"/>
            <w:tcBorders>
              <w:top w:val="single" w:sz="8" w:color="auto"/>
            </w:tcBorders>
          </w:tcPr>
          <w:p>
            <w:pPr>
              <w:jc w:val="center"/>
              <w:spacing w:after="0"/>
              <w:rPr>
                <w:sz w:val="20"/>
                <w:szCs w:val="20"/>
                <w:color w:val="auto"/>
              </w:rPr>
            </w:pPr>
            <w:r>
              <w:rPr>
                <w:rFonts w:ascii="Arial" w:cs="Arial" w:eastAsia="Arial" w:hAnsi="Arial"/>
                <w:sz w:val="18"/>
                <w:szCs w:val="18"/>
                <w:b w:val="1"/>
                <w:bCs w:val="1"/>
                <w:color w:val="auto"/>
                <w:w w:val="90"/>
              </w:rPr>
              <w:t>Class A Common Stock, $0.001 par value</w:t>
            </w:r>
          </w:p>
        </w:tc>
        <w:tc>
          <w:tcPr>
            <w:tcW w:w="120" w:type="dxa"/>
            <w:vAlign w:val="bottom"/>
          </w:tcPr>
          <w:p>
            <w:pPr>
              <w:spacing w:after="0"/>
              <w:rPr>
                <w:sz w:val="19"/>
                <w:szCs w:val="19"/>
                <w:color w:val="auto"/>
              </w:rPr>
            </w:pPr>
          </w:p>
        </w:tc>
        <w:tc>
          <w:tcPr>
            <w:tcW w:w="3520" w:type="dxa"/>
            <w:vAlign w:val="bottom"/>
            <w:tcBorders>
              <w:top w:val="single" w:sz="8" w:color="auto"/>
            </w:tcBorders>
          </w:tcPr>
          <w:p>
            <w:pPr>
              <w:jc w:val="center"/>
              <w:spacing w:after="0"/>
              <w:rPr>
                <w:sz w:val="20"/>
                <w:szCs w:val="20"/>
                <w:color w:val="auto"/>
              </w:rPr>
            </w:pPr>
            <w:r>
              <w:rPr>
                <w:rFonts w:ascii="Arial" w:cs="Arial" w:eastAsia="Arial" w:hAnsi="Arial"/>
                <w:sz w:val="18"/>
                <w:szCs w:val="18"/>
                <w:b w:val="1"/>
                <w:bCs w:val="1"/>
                <w:color w:val="auto"/>
              </w:rPr>
              <w:t>DH</w:t>
            </w:r>
          </w:p>
        </w:tc>
        <w:tc>
          <w:tcPr>
            <w:tcW w:w="100" w:type="dxa"/>
            <w:vAlign w:val="bottom"/>
          </w:tcPr>
          <w:p>
            <w:pPr>
              <w:spacing w:after="0"/>
              <w:rPr>
                <w:sz w:val="19"/>
                <w:szCs w:val="19"/>
                <w:color w:val="auto"/>
              </w:rPr>
            </w:pPr>
          </w:p>
        </w:tc>
        <w:tc>
          <w:tcPr>
            <w:tcW w:w="3540" w:type="dxa"/>
            <w:vAlign w:val="bottom"/>
            <w:tcBorders>
              <w:top w:val="single" w:sz="8" w:color="auto"/>
            </w:tcBorders>
          </w:tcPr>
          <w:p>
            <w:pPr>
              <w:jc w:val="center"/>
              <w:spacing w:after="0"/>
              <w:rPr>
                <w:sz w:val="20"/>
                <w:szCs w:val="20"/>
                <w:color w:val="auto"/>
              </w:rPr>
            </w:pPr>
            <w:r>
              <w:rPr>
                <w:rFonts w:ascii="Arial" w:cs="Arial" w:eastAsia="Arial" w:hAnsi="Arial"/>
                <w:sz w:val="18"/>
                <w:szCs w:val="18"/>
                <w:b w:val="1"/>
                <w:bCs w:val="1"/>
                <w:color w:val="auto"/>
                <w:w w:val="93"/>
              </w:rPr>
              <w:t>The Nasdaq Stock Market LLC</w:t>
            </w:r>
          </w:p>
        </w:tc>
        <w:tc>
          <w:tcPr>
            <w:tcW w:w="0" w:type="dxa"/>
            <w:vAlign w:val="bottom"/>
          </w:tcPr>
          <w:p>
            <w:pPr>
              <w:spacing w:after="0"/>
              <w:rPr>
                <w:sz w:val="1"/>
                <w:szCs w:val="1"/>
                <w:color w:val="auto"/>
              </w:rPr>
            </w:pPr>
          </w:p>
        </w:tc>
      </w:tr>
    </w:tbl>
    <w:p>
      <w:pPr>
        <w:spacing w:after="0" w:line="183" w:lineRule="exact"/>
        <w:rPr>
          <w:sz w:val="24"/>
          <w:szCs w:val="24"/>
          <w:color w:val="auto"/>
        </w:rPr>
      </w:pPr>
    </w:p>
    <w:p>
      <w:pPr>
        <w:ind w:left="4" w:right="300"/>
        <w:spacing w:after="0" w:line="277" w:lineRule="auto"/>
        <w:rPr>
          <w:sz w:val="20"/>
          <w:szCs w:val="20"/>
          <w:color w:val="auto"/>
        </w:rPr>
      </w:pPr>
      <w:r>
        <w:rPr>
          <w:rFonts w:ascii="Arial" w:cs="Arial" w:eastAsia="Arial" w:hAnsi="Arial"/>
          <w:sz w:val="18"/>
          <w:szCs w:val="18"/>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138" w:lineRule="exact"/>
        <w:rPr>
          <w:sz w:val="24"/>
          <w:szCs w:val="24"/>
          <w:color w:val="auto"/>
        </w:rPr>
      </w:pPr>
    </w:p>
    <w:p>
      <w:pPr>
        <w:ind w:left="4"/>
        <w:spacing w:after="0" w:line="207" w:lineRule="exact"/>
        <w:rPr>
          <w:sz w:val="20"/>
          <w:szCs w:val="20"/>
          <w:color w:val="auto"/>
        </w:rPr>
      </w:pPr>
      <w:r>
        <w:rPr>
          <w:rFonts w:ascii="Arial" w:cs="Arial" w:eastAsia="Arial" w:hAnsi="Arial"/>
          <w:sz w:val="18"/>
          <w:szCs w:val="18"/>
          <w:color w:val="auto"/>
        </w:rPr>
        <w:t xml:space="preserve">Emerging growth company </w:t>
      </w:r>
      <w:r>
        <w:rPr>
          <w:rFonts w:ascii="MS PGothic" w:cs="MS PGothic" w:eastAsia="MS PGothic" w:hAnsi="MS PGothic"/>
          <w:sz w:val="18"/>
          <w:szCs w:val="18"/>
          <w:color w:val="auto"/>
        </w:rPr>
        <w:t>☒</w:t>
      </w:r>
    </w:p>
    <w:p>
      <w:pPr>
        <w:spacing w:after="0" w:line="258" w:lineRule="exact"/>
        <w:rPr>
          <w:sz w:val="24"/>
          <w:szCs w:val="24"/>
          <w:color w:val="auto"/>
        </w:rPr>
      </w:pPr>
    </w:p>
    <w:p>
      <w:pPr>
        <w:ind w:left="4" w:right="300"/>
        <w:spacing w:after="0" w:line="233" w:lineRule="exact"/>
        <w:rPr>
          <w:sz w:val="20"/>
          <w:szCs w:val="20"/>
          <w:color w:val="auto"/>
        </w:rPr>
      </w:pPr>
      <w:r>
        <w:rPr>
          <w:rFonts w:ascii="Arial" w:cs="Arial" w:eastAsia="Arial" w:hAnsi="Arial"/>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0</wp:posOffset>
            </wp:positionH>
            <wp:positionV relativeFrom="paragraph">
              <wp:posOffset>133350</wp:posOffset>
            </wp:positionV>
            <wp:extent cx="699516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6995160" cy="8890"/>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176530</wp:posOffset>
            </wp:positionV>
            <wp:extent cx="699516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6995160" cy="8890"/>
                    </a:xfrm>
                    <a:prstGeom prst="rect">
                      <a:avLst/>
                    </a:prstGeom>
                    <a:noFill/>
                  </pic:spPr>
                </pic:pic>
              </a:graphicData>
            </a:graphic>
          </wp:anchor>
        </w:drawing>
      </w:r>
    </w:p>
    <w:p>
      <w:pPr>
        <w:sectPr>
          <w:pgSz w:w="11900" w:h="16838" w:orient="portrait"/>
          <w:cols w:equalWidth="0" w:num="1">
            <w:col w:w="11024"/>
          </w:cols>
          <w:pgMar w:left="436" w:top="368" w:right="439" w:bottom="1440" w:gutter="0" w:footer="0" w:header="0"/>
        </w:sectPr>
      </w:pPr>
    </w:p>
    <w:bookmarkStart w:id="1" w:name="page2"/>
    <w:bookmarkEnd w:id="1"/>
    <w:p>
      <w:pPr>
        <w:ind w:right="40"/>
        <w:spacing w:after="0" w:line="282" w:lineRule="auto"/>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74865" cy="55880"/>
                    </a:xfrm>
                    <a:prstGeom prst="rect">
                      <a:avLst/>
                    </a:prstGeom>
                    <a:noFill/>
                  </pic:spPr>
                </pic:pic>
              </a:graphicData>
            </a:graphic>
          </wp:anchor>
        </w:drawing>
        <w:t>Item 5.02 Departure of Directors or Certain Officers; Election of Directors; Appointment of Certain Officers; Compensatory Arrangements of Certain Officers</w:t>
      </w:r>
    </w:p>
    <w:p>
      <w:pPr>
        <w:spacing w:after="0" w:line="58" w:lineRule="exact"/>
        <w:rPr>
          <w:sz w:val="20"/>
          <w:szCs w:val="20"/>
          <w:color w:val="auto"/>
        </w:rPr>
      </w:pPr>
    </w:p>
    <w:p>
      <w:pPr>
        <w:spacing w:after="0" w:line="311" w:lineRule="auto"/>
        <w:rPr>
          <w:sz w:val="20"/>
          <w:szCs w:val="20"/>
          <w:color w:val="auto"/>
        </w:rPr>
      </w:pPr>
      <w:r>
        <w:rPr>
          <w:rFonts w:ascii="Arial" w:cs="Arial" w:eastAsia="Arial" w:hAnsi="Arial"/>
          <w:sz w:val="16"/>
          <w:szCs w:val="16"/>
          <w:color w:val="auto"/>
        </w:rPr>
        <w:t>On October 1, 2021, Ms. Kathleen A. Winters was elected to the board of directors (the “Board”) and the Audit Committee of the Board of Definitive Healthcare Corp. Ms. Winters served as the Chief Financial Officer of ADP, Inc. from 2019 through September 30, 2021. Prior to joining ADP, Inc., she served as Chief Financial Officer of MSCI Inc. Ms. Winters previously spent 14 years in various leadership roles at Honeywell International.</w:t>
      </w:r>
    </w:p>
    <w:p>
      <w:pPr>
        <w:spacing w:after="0" w:line="25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9.01 Financial Statements and Exhibits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 Exhibits</w:t>
      </w:r>
    </w:p>
    <w:p>
      <w:pPr>
        <w:spacing w:after="0" w:line="256" w:lineRule="exact"/>
        <w:rPr>
          <w:sz w:val="20"/>
          <w:szCs w:val="20"/>
          <w:color w:val="auto"/>
        </w:rPr>
      </w:pPr>
    </w:p>
    <w:p>
      <w:pPr>
        <w:spacing w:after="0"/>
        <w:tabs>
          <w:tab w:leader="none" w:pos="640" w:val="left"/>
        </w:tabs>
        <w:rPr>
          <w:rFonts w:ascii="Arial" w:cs="Arial" w:eastAsia="Arial" w:hAnsi="Arial"/>
          <w:sz w:val="15"/>
          <w:szCs w:val="15"/>
          <w:u w:val="single" w:color="auto"/>
          <w:color w:val="0000EE"/>
        </w:rPr>
      </w:pPr>
      <w:r>
        <w:rPr>
          <w:rFonts w:ascii="Arial" w:cs="Arial" w:eastAsia="Arial" w:hAnsi="Arial"/>
          <w:sz w:val="18"/>
          <w:szCs w:val="18"/>
          <w:color w:val="auto"/>
        </w:rPr>
        <w:t>99.1</w:t>
      </w:r>
      <w:r>
        <w:rPr>
          <w:sz w:val="20"/>
          <w:szCs w:val="20"/>
          <w:color w:val="auto"/>
        </w:rPr>
        <w:tab/>
      </w:r>
      <w:hyperlink w:anchor="page4">
        <w:r>
          <w:rPr>
            <w:rFonts w:ascii="Arial" w:cs="Arial" w:eastAsia="Arial" w:hAnsi="Arial"/>
            <w:sz w:val="15"/>
            <w:szCs w:val="15"/>
            <w:u w:val="single" w:color="auto"/>
            <w:color w:val="0000EE"/>
          </w:rPr>
          <w:t>Press Release, dated October 1, 2021.</w:t>
        </w:r>
      </w:hyperlink>
    </w:p>
    <w:p>
      <w:pPr>
        <w:spacing w:after="0" w:line="117" w:lineRule="exact"/>
        <w:rPr>
          <w:sz w:val="20"/>
          <w:szCs w:val="20"/>
          <w:color w:val="auto"/>
        </w:rPr>
      </w:pPr>
    </w:p>
    <w:p>
      <w:pPr>
        <w:spacing w:after="0"/>
        <w:tabs>
          <w:tab w:leader="none" w:pos="640" w:val="left"/>
        </w:tabs>
        <w:rPr>
          <w:sz w:val="20"/>
          <w:szCs w:val="20"/>
          <w:color w:val="auto"/>
        </w:rPr>
      </w:pPr>
      <w:r>
        <w:rPr>
          <w:rFonts w:ascii="Arial" w:cs="Arial" w:eastAsia="Arial" w:hAnsi="Arial"/>
          <w:sz w:val="18"/>
          <w:szCs w:val="18"/>
          <w:color w:val="auto"/>
        </w:rPr>
        <w:t>104</w:t>
      </w:r>
      <w:r>
        <w:rPr>
          <w:sz w:val="20"/>
          <w:szCs w:val="20"/>
          <w:color w:val="auto"/>
        </w:rPr>
        <w:tab/>
      </w:r>
      <w:r>
        <w:rPr>
          <w:rFonts w:ascii="Arial" w:cs="Arial" w:eastAsia="Arial" w:hAnsi="Arial"/>
          <w:sz w:val="18"/>
          <w:szCs w:val="18"/>
          <w:color w:val="auto"/>
        </w:rPr>
        <w:t>Cover Page Interactive Data File (embedded within the Inline XBRL document).</w:t>
      </w:r>
    </w:p>
    <w:p>
      <w:pPr>
        <w:sectPr>
          <w:pgSz w:w="11900" w:h="16838" w:orient="portrait"/>
          <w:cols w:equalWidth="0" w:num="1">
            <w:col w:w="10960"/>
          </w:cols>
          <w:pgMar w:left="440" w:top="297" w:right="499" w:bottom="1440" w:gutter="0" w:footer="0" w:header="0"/>
        </w:sectPr>
      </w:pPr>
    </w:p>
    <w:bookmarkStart w:id="2" w:name="page3"/>
    <w:bookmarkEnd w:id="2"/>
    <w:p>
      <w:pPr>
        <w:jc w:val="center"/>
        <w:ind w:right="-23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74865" cy="55245"/>
                    </a:xfrm>
                    <a:prstGeom prst="rect">
                      <a:avLst/>
                    </a:prstGeom>
                    <a:noFill/>
                  </pic:spPr>
                </pic:pic>
              </a:graphicData>
            </a:graphic>
          </wp:anchor>
        </w:drawing>
        <w:t>SIGNATURES</w:t>
      </w:r>
    </w:p>
    <w:p>
      <w:pPr>
        <w:spacing w:after="0" w:line="229" w:lineRule="exact"/>
        <w:rPr>
          <w:sz w:val="20"/>
          <w:szCs w:val="20"/>
          <w:color w:val="auto"/>
        </w:rPr>
      </w:pPr>
    </w:p>
    <w:p>
      <w:pPr>
        <w:ind w:firstLine="440"/>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pacing w:after="0" w:line="197" w:lineRule="exact"/>
        <w:rPr>
          <w:sz w:val="20"/>
          <w:szCs w:val="20"/>
          <w:color w:val="auto"/>
        </w:rPr>
      </w:pPr>
    </w:p>
    <w:p>
      <w:pPr>
        <w:ind w:left="6620"/>
        <w:spacing w:after="0"/>
        <w:rPr>
          <w:sz w:val="20"/>
          <w:szCs w:val="20"/>
          <w:color w:val="auto"/>
        </w:rPr>
      </w:pPr>
      <w:r>
        <w:rPr>
          <w:rFonts w:ascii="Arial" w:cs="Arial" w:eastAsia="Arial" w:hAnsi="Arial"/>
          <w:sz w:val="18"/>
          <w:szCs w:val="18"/>
          <w:color w:val="auto"/>
        </w:rPr>
        <w:t>DEFINITIVE HEALTHCARE CORP.</w:t>
      </w:r>
    </w:p>
    <w:p>
      <w:pPr>
        <w:spacing w:after="0" w:line="225" w:lineRule="exact"/>
        <w:rPr>
          <w:sz w:val="20"/>
          <w:szCs w:val="20"/>
          <w:color w:val="auto"/>
        </w:rPr>
      </w:pPr>
    </w:p>
    <w:p>
      <w:pPr>
        <w:ind w:left="6880"/>
        <w:spacing w:after="0"/>
        <w:rPr>
          <w:sz w:val="20"/>
          <w:szCs w:val="20"/>
          <w:color w:val="auto"/>
        </w:rPr>
      </w:pPr>
      <w:r>
        <w:rPr>
          <w:rFonts w:ascii="Arial" w:cs="Arial" w:eastAsia="Arial" w:hAnsi="Arial"/>
          <w:sz w:val="18"/>
          <w:szCs w:val="18"/>
          <w:color w:val="auto"/>
        </w:rPr>
        <w:t>By: /s/ David Samuels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4592320</wp:posOffset>
            </wp:positionH>
            <wp:positionV relativeFrom="paragraph">
              <wp:posOffset>14605</wp:posOffset>
            </wp:positionV>
            <wp:extent cx="2400300" cy="825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2400300" cy="8255"/>
                    </a:xfrm>
                    <a:prstGeom prst="rect">
                      <a:avLst/>
                    </a:prstGeom>
                    <a:noFill/>
                  </pic:spPr>
                </pic:pic>
              </a:graphicData>
            </a:graphic>
          </wp:anchor>
        </w:drawing>
      </w:r>
    </w:p>
    <w:p>
      <w:pPr>
        <w:spacing w:after="0" w:line="16" w:lineRule="exact"/>
        <w:rPr>
          <w:sz w:val="20"/>
          <w:szCs w:val="20"/>
          <w:color w:val="auto"/>
        </w:rPr>
      </w:pPr>
    </w:p>
    <w:p>
      <w:pPr>
        <w:ind w:left="6900"/>
        <w:spacing w:after="0"/>
        <w:rPr>
          <w:sz w:val="20"/>
          <w:szCs w:val="20"/>
          <w:color w:val="auto"/>
        </w:rPr>
      </w:pPr>
      <w:r>
        <w:rPr>
          <w:rFonts w:ascii="Arial" w:cs="Arial" w:eastAsia="Arial" w:hAnsi="Arial"/>
          <w:sz w:val="18"/>
          <w:szCs w:val="18"/>
          <w:color w:val="auto"/>
        </w:rPr>
        <w:t>Name: David Samuels</w:t>
      </w:r>
    </w:p>
    <w:p>
      <w:pPr>
        <w:spacing w:after="0" w:line="23" w:lineRule="exact"/>
        <w:rPr>
          <w:sz w:val="20"/>
          <w:szCs w:val="20"/>
          <w:color w:val="auto"/>
        </w:rPr>
      </w:pPr>
    </w:p>
    <w:p>
      <w:pPr>
        <w:ind w:left="6900"/>
        <w:spacing w:after="0"/>
        <w:rPr>
          <w:sz w:val="20"/>
          <w:szCs w:val="20"/>
          <w:color w:val="auto"/>
        </w:rPr>
      </w:pPr>
      <w:r>
        <w:rPr>
          <w:rFonts w:ascii="Arial" w:cs="Arial" w:eastAsia="Arial" w:hAnsi="Arial"/>
          <w:sz w:val="18"/>
          <w:szCs w:val="18"/>
          <w:color w:val="auto"/>
        </w:rPr>
        <w:t>Title: Chief Legal Officer</w:t>
      </w:r>
    </w:p>
    <w:p>
      <w:pPr>
        <w:spacing w:after="0" w:line="211" w:lineRule="exact"/>
        <w:rPr>
          <w:sz w:val="20"/>
          <w:szCs w:val="20"/>
          <w:color w:val="auto"/>
        </w:rPr>
      </w:pPr>
    </w:p>
    <w:p>
      <w:pPr>
        <w:spacing w:after="0"/>
        <w:tabs>
          <w:tab w:leader="none" w:pos="540" w:val="left"/>
        </w:tabs>
        <w:rPr>
          <w:sz w:val="20"/>
          <w:szCs w:val="20"/>
          <w:color w:val="auto"/>
        </w:rPr>
      </w:pPr>
      <w:r>
        <w:rPr>
          <w:rFonts w:ascii="Arial" w:cs="Arial" w:eastAsia="Arial" w:hAnsi="Arial"/>
          <w:sz w:val="18"/>
          <w:szCs w:val="18"/>
          <w:color w:val="auto"/>
        </w:rPr>
        <w:t>Date:</w:t>
      </w:r>
      <w:r>
        <w:rPr>
          <w:sz w:val="20"/>
          <w:szCs w:val="20"/>
          <w:color w:val="auto"/>
        </w:rPr>
        <w:tab/>
      </w:r>
      <w:r>
        <w:rPr>
          <w:rFonts w:ascii="Arial" w:cs="Arial" w:eastAsia="Arial" w:hAnsi="Arial"/>
          <w:sz w:val="16"/>
          <w:szCs w:val="16"/>
          <w:color w:val="auto"/>
        </w:rPr>
        <w:t>October 1, 2021</w:t>
      </w:r>
    </w:p>
    <w:p>
      <w:pPr>
        <w:sectPr>
          <w:pgSz w:w="11900" w:h="16838" w:orient="portrait"/>
          <w:cols w:equalWidth="0" w:num="1">
            <w:col w:w="10780"/>
          </w:cols>
          <w:pgMar w:left="440" w:top="297" w:right="679" w:bottom="1440" w:gutter="0" w:footer="0" w:header="0"/>
        </w:sectPr>
      </w:pPr>
    </w:p>
    <w:bookmarkStart w:id="3" w:name="page4"/>
    <w:bookmarkEnd w:id="3"/>
    <w:p>
      <w:pPr>
        <w:jc w:val="right"/>
        <w:spacing w:after="0"/>
        <w:rPr>
          <w:sz w:val="20"/>
          <w:szCs w:val="20"/>
          <w:color w:val="auto"/>
        </w:rPr>
      </w:pPr>
      <w:r>
        <w:rPr>
          <w:rFonts w:ascii="Arial" w:cs="Arial" w:eastAsia="Arial" w:hAnsi="Arial"/>
          <w:sz w:val="18"/>
          <w:szCs w:val="18"/>
          <w:color w:val="auto"/>
        </w:rPr>
        <w:t>EXHIBIT 99.1</w:t>
      </w:r>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Definitive Healthcare Appoints Kathleen A. Winters to Board of Directors</w:t>
      </w:r>
    </w:p>
    <w:p>
      <w:pPr>
        <w:spacing w:after="0" w:line="225" w:lineRule="exact"/>
        <w:rPr>
          <w:sz w:val="20"/>
          <w:szCs w:val="20"/>
          <w:color w:val="auto"/>
        </w:rPr>
      </w:pPr>
    </w:p>
    <w:p>
      <w:pPr>
        <w:ind w:right="220"/>
        <w:spacing w:after="0" w:line="282" w:lineRule="auto"/>
        <w:rPr>
          <w:sz w:val="20"/>
          <w:szCs w:val="20"/>
          <w:color w:val="auto"/>
        </w:rPr>
      </w:pPr>
      <w:r>
        <w:rPr>
          <w:rFonts w:ascii="Arial" w:cs="Arial" w:eastAsia="Arial" w:hAnsi="Arial"/>
          <w:sz w:val="18"/>
          <w:szCs w:val="18"/>
          <w:b w:val="1"/>
          <w:bCs w:val="1"/>
          <w:color w:val="auto"/>
        </w:rPr>
        <w:t xml:space="preserve">FRAMINGHAM, MA (October 1, 2021) – </w:t>
      </w:r>
      <w:r>
        <w:rPr>
          <w:rFonts w:ascii="Arial" w:cs="Arial" w:eastAsia="Arial" w:hAnsi="Arial"/>
          <w:sz w:val="18"/>
          <w:szCs w:val="18"/>
          <w:b w:val="1"/>
          <w:bCs w:val="1"/>
          <w:u w:val="single" w:color="auto"/>
          <w:color w:val="auto"/>
        </w:rPr>
        <w:t>Definitive Healthcare</w:t>
      </w:r>
      <w:r>
        <w:rPr>
          <w:rFonts w:ascii="Arial" w:cs="Arial" w:eastAsia="Arial" w:hAnsi="Arial"/>
          <w:sz w:val="18"/>
          <w:szCs w:val="18"/>
          <w:b w:val="1"/>
          <w:bCs w:val="1"/>
          <w:color w:val="auto"/>
        </w:rPr>
        <w:t xml:space="preserve"> </w:t>
      </w:r>
      <w:r>
        <w:rPr>
          <w:rFonts w:ascii="Arial" w:cs="Arial" w:eastAsia="Arial" w:hAnsi="Arial"/>
          <w:sz w:val="18"/>
          <w:szCs w:val="18"/>
          <w:color w:val="auto"/>
        </w:rPr>
        <w:t>(NASDAQ: DH), an industry leader in healthcare commercial intelligence, today</w:t>
      </w:r>
      <w:r>
        <w:rPr>
          <w:rFonts w:ascii="Arial" w:cs="Arial" w:eastAsia="Arial" w:hAnsi="Arial"/>
          <w:sz w:val="18"/>
          <w:szCs w:val="18"/>
          <w:b w:val="1"/>
          <w:bCs w:val="1"/>
          <w:color w:val="auto"/>
        </w:rPr>
        <w:t xml:space="preserve"> </w:t>
      </w:r>
      <w:r>
        <w:rPr>
          <w:rFonts w:ascii="Arial" w:cs="Arial" w:eastAsia="Arial" w:hAnsi="Arial"/>
          <w:sz w:val="18"/>
          <w:szCs w:val="18"/>
          <w:color w:val="auto"/>
        </w:rPr>
        <w:t>announced the appointment of Kathleen A. Winters to its Board of Directors and its Audit Committee.</w:t>
      </w:r>
    </w:p>
    <w:p>
      <w:pPr>
        <w:spacing w:after="0" w:line="166" w:lineRule="exact"/>
        <w:rPr>
          <w:sz w:val="20"/>
          <w:szCs w:val="20"/>
          <w:color w:val="auto"/>
        </w:rPr>
      </w:pPr>
    </w:p>
    <w:p>
      <w:pPr>
        <w:ind w:right="260"/>
        <w:spacing w:after="0" w:line="259" w:lineRule="auto"/>
        <w:rPr>
          <w:sz w:val="20"/>
          <w:szCs w:val="20"/>
          <w:color w:val="auto"/>
        </w:rPr>
      </w:pPr>
      <w:r>
        <w:rPr>
          <w:rFonts w:ascii="Arial" w:cs="Arial" w:eastAsia="Arial" w:hAnsi="Arial"/>
          <w:sz w:val="18"/>
          <w:szCs w:val="18"/>
          <w:color w:val="auto"/>
        </w:rPr>
        <w:t>“Kathleen’s wealth of financial and operational leadership experience from numerous publicly-traded companies will be a tremendous asset to Definitive Healthcare and we’re incredibly excited to welcome her to the Board,” said Jason Krantz, CEO and founder of Definitive Healthcare. “Her insights and counsel will be critical as we enter the next phase of our journey as a public company and continue our work to enhance the healthcare commercial intelligence we provide our customers.”</w:t>
      </w:r>
    </w:p>
    <w:p>
      <w:pPr>
        <w:spacing w:after="0" w:line="187" w:lineRule="exact"/>
        <w:rPr>
          <w:sz w:val="20"/>
          <w:szCs w:val="20"/>
          <w:color w:val="auto"/>
        </w:rPr>
      </w:pPr>
    </w:p>
    <w:p>
      <w:pPr>
        <w:ind w:right="60"/>
        <w:spacing w:after="0" w:line="257" w:lineRule="auto"/>
        <w:rPr>
          <w:sz w:val="20"/>
          <w:szCs w:val="20"/>
          <w:color w:val="auto"/>
        </w:rPr>
      </w:pPr>
      <w:r>
        <w:rPr>
          <w:rFonts w:ascii="Arial" w:cs="Arial" w:eastAsia="Arial" w:hAnsi="Arial"/>
          <w:sz w:val="18"/>
          <w:szCs w:val="18"/>
          <w:color w:val="auto"/>
        </w:rPr>
        <w:t>Winters recently retired from her role as Chief Financial Officer at ADP (NASDAQ:ADP), where she was responsible for leading the global finance organization, representing the company to investors, lenders and rating agencies and played a significant role in driving the company’s strategy, growth and operational effectiveness. Prior to ADP, she served as Chief Financial Officer at MSCI, Inc. (NYSE: MSCI), a leading provider of investment decision support tools including indexes, for institutional investors for three years. Before that, she spent 14 years in various financial leadership roles at Honeywell International (NASDAQ: HON).</w:t>
      </w:r>
    </w:p>
    <w:p>
      <w:pPr>
        <w:spacing w:after="0" w:line="188" w:lineRule="exact"/>
        <w:rPr>
          <w:sz w:val="20"/>
          <w:szCs w:val="20"/>
          <w:color w:val="auto"/>
        </w:rPr>
      </w:pPr>
    </w:p>
    <w:p>
      <w:pPr>
        <w:ind w:right="140"/>
        <w:spacing w:after="0" w:line="263" w:lineRule="auto"/>
        <w:rPr>
          <w:sz w:val="20"/>
          <w:szCs w:val="20"/>
          <w:color w:val="auto"/>
        </w:rPr>
      </w:pPr>
      <w:r>
        <w:rPr>
          <w:rFonts w:ascii="Arial" w:cs="Arial" w:eastAsia="Arial" w:hAnsi="Arial"/>
          <w:sz w:val="18"/>
          <w:szCs w:val="18"/>
          <w:color w:val="auto"/>
        </w:rPr>
        <w:t>“Definitive Healthcare is doing great work to help organizations make sense of the complex healthcare ecosystem,” said Winters. “I’m excited to join the Board at this pivotal moment in the company’s trajectory and I look forward to working with the leadership team as they continue to bring valuable healthcare insights to customers.”</w:t>
      </w:r>
    </w:p>
    <w:p>
      <w:pPr>
        <w:spacing w:after="0" w:line="2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About Definitive Healthcare</w:t>
      </w:r>
    </w:p>
    <w:p>
      <w:pPr>
        <w:spacing w:after="0" w:line="121" w:lineRule="exact"/>
        <w:rPr>
          <w:sz w:val="20"/>
          <w:szCs w:val="20"/>
          <w:color w:val="auto"/>
        </w:rPr>
      </w:pPr>
    </w:p>
    <w:p>
      <w:pPr>
        <w:jc w:val="both"/>
        <w:ind w:right="140"/>
        <w:spacing w:after="0" w:line="286" w:lineRule="auto"/>
        <w:rPr>
          <w:sz w:val="20"/>
          <w:szCs w:val="20"/>
          <w:color w:val="auto"/>
        </w:rPr>
      </w:pPr>
      <w:r>
        <w:rPr>
          <w:rFonts w:ascii="Arial" w:cs="Arial" w:eastAsia="Arial" w:hAnsi="Arial"/>
          <w:sz w:val="17"/>
          <w:szCs w:val="17"/>
          <w:color w:val="auto"/>
        </w:rPr>
        <w:t xml:space="preserve">At Definitive Healthcare, our passion is to transform data, analytics and expertise into healthcare commercial intelligence. We help clients uncover the right markets, opportunities and people, so they can shape tomorrow’s healthcare industry. Our SaaS platform creates new paths to commercial success in the healthcare market, so companies can identify where to go next. Learn more at </w:t>
      </w:r>
      <w:r>
        <w:rPr>
          <w:rFonts w:ascii="Arial" w:cs="Arial" w:eastAsia="Arial" w:hAnsi="Arial"/>
          <w:sz w:val="17"/>
          <w:szCs w:val="17"/>
          <w:u w:val="single" w:color="auto"/>
          <w:color w:val="auto"/>
        </w:rPr>
        <w:t>definitivehc.com</w:t>
      </w:r>
      <w:r>
        <w:rPr>
          <w:rFonts w:ascii="Arial" w:cs="Arial" w:eastAsia="Arial" w:hAnsi="Arial"/>
          <w:sz w:val="17"/>
          <w:szCs w:val="17"/>
          <w:color w:val="auto"/>
        </w:rPr>
        <w:t>.</w:t>
      </w:r>
    </w:p>
    <w:p>
      <w:pPr>
        <w:spacing w:after="0" w:line="26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Media Contact:</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Danielle Johns</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PR Manager, Definitive Healthcare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djohns@definitivehc.com</w:t>
      </w:r>
    </w:p>
    <w:p>
      <w:pPr>
        <w:spacing w:after="0" w:line="31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Investor Relations Contact:</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Brian Denyeau</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brian.denyeau@icrinc.com</w:t>
      </w:r>
    </w:p>
    <w:sectPr>
      <w:pgSz w:w="11900" w:h="16838" w:orient="portrait"/>
      <w:cols w:equalWidth="0" w:num="1">
        <w:col w:w="11020"/>
      </w:cols>
      <w:pgMar w:left="440" w:top="125" w:right="4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2021-10-01T15:04:50Z</dcterms:created>
  <dcterms:modified xsi:type="dcterms:W3CDTF">2021-10-01T15:04:50Z</dcterms:modified>
</cp:coreProperties>
</file>